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16BC42" w14:textId="77777777" w:rsidR="001D7367" w:rsidRDefault="00000000">
      <w:pPr>
        <w:spacing w:after="1400"/>
      </w:pPr>
      <w:r>
        <w:rPr>
          <w:noProof/>
        </w:rPr>
        <w:drawing>
          <wp:inline distT="0" distB="0" distL="0" distR="0" wp14:anchorId="08362D12" wp14:editId="216BC769">
            <wp:extent cx="1188000" cy="151971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8"/>
                    <a:stretch>
                      <a:fillRect/>
                    </a:stretch>
                  </pic:blipFill>
                  <pic:spPr>
                    <a:xfrm>
                      <a:off x="0" y="0"/>
                      <a:ext cx="1188000" cy="1519714"/>
                    </a:xfrm>
                    <a:prstGeom prst="rect">
                      <a:avLst/>
                    </a:prstGeom>
                  </pic:spPr>
                </pic:pic>
              </a:graphicData>
            </a:graphic>
          </wp:inline>
        </w:drawing>
      </w:r>
    </w:p>
    <w:p w14:paraId="0340EEFF" w14:textId="77777777" w:rsidR="001D7367" w:rsidRDefault="00000000">
      <w:pPr>
        <w:pStyle w:val="Rubrik"/>
        <w:spacing w:after="2300"/>
        <w:ind w:left="680"/>
      </w:pPr>
      <w:r>
        <w:t>Gender Mainstreaming Plan</w:t>
      </w:r>
      <w:r>
        <w:br/>
        <w:t>2026–2028</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4819"/>
        <w:gridCol w:w="4819"/>
      </w:tblGrid>
      <w:tr w:rsidR="001D7367" w14:paraId="7EB46C80" w14:textId="77777777">
        <w:trPr>
          <w:jc w:val="center"/>
        </w:trPr>
        <w:tc>
          <w:tcPr>
            <w:tcW w:w="4819" w:type="dxa"/>
            <w:tcMar>
              <w:top w:w="55" w:type="dxa"/>
              <w:left w:w="40" w:type="dxa"/>
              <w:bottom w:w="55" w:type="dxa"/>
              <w:right w:w="80" w:type="dxa"/>
            </w:tcMar>
          </w:tcPr>
          <w:p w14:paraId="6D1D56E5" w14:textId="77777777" w:rsidR="001D7367" w:rsidRDefault="00000000">
            <w:pPr>
              <w:spacing w:after="0"/>
            </w:pPr>
            <w:r>
              <w:rPr>
                <w:b/>
                <w:sz w:val="19"/>
              </w:rPr>
              <w:t>Reference number</w:t>
            </w:r>
          </w:p>
        </w:tc>
        <w:tc>
          <w:tcPr>
            <w:tcW w:w="4819" w:type="dxa"/>
            <w:tcMar>
              <w:top w:w="55" w:type="dxa"/>
              <w:left w:w="40" w:type="dxa"/>
              <w:bottom w:w="55" w:type="dxa"/>
              <w:right w:w="80" w:type="dxa"/>
            </w:tcMar>
          </w:tcPr>
          <w:p w14:paraId="199B87C6" w14:textId="77777777" w:rsidR="001D7367" w:rsidRDefault="00000000">
            <w:pPr>
              <w:spacing w:after="0"/>
            </w:pPr>
            <w:r>
              <w:rPr>
                <w:sz w:val="19"/>
              </w:rPr>
              <w:t>L 2026/90</w:t>
            </w:r>
          </w:p>
        </w:tc>
      </w:tr>
      <w:tr w:rsidR="001D7367" w14:paraId="32E5554F" w14:textId="77777777">
        <w:trPr>
          <w:jc w:val="center"/>
        </w:trPr>
        <w:tc>
          <w:tcPr>
            <w:tcW w:w="4819" w:type="dxa"/>
            <w:tcMar>
              <w:top w:w="55" w:type="dxa"/>
              <w:left w:w="40" w:type="dxa"/>
              <w:bottom w:w="55" w:type="dxa"/>
              <w:right w:w="80" w:type="dxa"/>
            </w:tcMar>
          </w:tcPr>
          <w:p w14:paraId="6AB365D4" w14:textId="77777777" w:rsidR="001D7367" w:rsidRDefault="00000000">
            <w:pPr>
              <w:spacing w:after="0"/>
            </w:pPr>
            <w:r>
              <w:rPr>
                <w:b/>
                <w:sz w:val="19"/>
              </w:rPr>
              <w:t>Document type</w:t>
            </w:r>
          </w:p>
        </w:tc>
        <w:tc>
          <w:tcPr>
            <w:tcW w:w="4819" w:type="dxa"/>
            <w:tcMar>
              <w:top w:w="55" w:type="dxa"/>
              <w:left w:w="40" w:type="dxa"/>
              <w:bottom w:w="55" w:type="dxa"/>
              <w:right w:w="80" w:type="dxa"/>
            </w:tcMar>
          </w:tcPr>
          <w:p w14:paraId="7F567577" w14:textId="77777777" w:rsidR="001D7367" w:rsidRDefault="00000000">
            <w:pPr>
              <w:spacing w:after="0"/>
            </w:pPr>
            <w:r>
              <w:rPr>
                <w:sz w:val="19"/>
              </w:rPr>
              <w:t>Recurring planning and governance document</w:t>
            </w:r>
          </w:p>
        </w:tc>
      </w:tr>
      <w:tr w:rsidR="001D7367" w14:paraId="4032F0BA" w14:textId="77777777">
        <w:trPr>
          <w:jc w:val="center"/>
        </w:trPr>
        <w:tc>
          <w:tcPr>
            <w:tcW w:w="4819" w:type="dxa"/>
            <w:tcMar>
              <w:top w:w="55" w:type="dxa"/>
              <w:left w:w="40" w:type="dxa"/>
              <w:bottom w:w="55" w:type="dxa"/>
              <w:right w:w="80" w:type="dxa"/>
            </w:tcMar>
          </w:tcPr>
          <w:p w14:paraId="230693F0" w14:textId="77777777" w:rsidR="001D7367" w:rsidRDefault="00000000">
            <w:pPr>
              <w:spacing w:after="0"/>
            </w:pPr>
            <w:r>
              <w:rPr>
                <w:b/>
                <w:sz w:val="19"/>
              </w:rPr>
              <w:t>Decision-maker</w:t>
            </w:r>
          </w:p>
        </w:tc>
        <w:tc>
          <w:tcPr>
            <w:tcW w:w="4819" w:type="dxa"/>
            <w:tcMar>
              <w:top w:w="55" w:type="dxa"/>
              <w:left w:w="40" w:type="dxa"/>
              <w:bottom w:w="55" w:type="dxa"/>
              <w:right w:w="80" w:type="dxa"/>
            </w:tcMar>
          </w:tcPr>
          <w:p w14:paraId="4E6628AA" w14:textId="77777777" w:rsidR="001D7367" w:rsidRDefault="00000000">
            <w:pPr>
              <w:spacing w:after="0"/>
            </w:pPr>
            <w:r>
              <w:rPr>
                <w:sz w:val="19"/>
              </w:rPr>
              <w:t>Vice-Chancellor</w:t>
            </w:r>
          </w:p>
        </w:tc>
      </w:tr>
      <w:tr w:rsidR="001D7367" w14:paraId="1FE666D9" w14:textId="77777777">
        <w:trPr>
          <w:jc w:val="center"/>
        </w:trPr>
        <w:tc>
          <w:tcPr>
            <w:tcW w:w="4819" w:type="dxa"/>
            <w:tcMar>
              <w:top w:w="55" w:type="dxa"/>
              <w:left w:w="40" w:type="dxa"/>
              <w:bottom w:w="55" w:type="dxa"/>
              <w:right w:w="80" w:type="dxa"/>
            </w:tcMar>
          </w:tcPr>
          <w:p w14:paraId="7D49E9C8" w14:textId="77777777" w:rsidR="001D7367" w:rsidRDefault="00000000">
            <w:pPr>
              <w:spacing w:after="0"/>
            </w:pPr>
            <w:r>
              <w:rPr>
                <w:b/>
                <w:sz w:val="19"/>
              </w:rPr>
              <w:t>Date of decision</w:t>
            </w:r>
          </w:p>
        </w:tc>
        <w:tc>
          <w:tcPr>
            <w:tcW w:w="4819" w:type="dxa"/>
            <w:tcMar>
              <w:top w:w="55" w:type="dxa"/>
              <w:left w:w="40" w:type="dxa"/>
              <w:bottom w:w="55" w:type="dxa"/>
              <w:right w:w="80" w:type="dxa"/>
            </w:tcMar>
          </w:tcPr>
          <w:p w14:paraId="179A922C" w14:textId="77777777" w:rsidR="001D7367" w:rsidRDefault="00000000">
            <w:pPr>
              <w:spacing w:after="0"/>
            </w:pPr>
            <w:r>
              <w:rPr>
                <w:sz w:val="19"/>
              </w:rPr>
              <w:t>29 June 2026</w:t>
            </w:r>
          </w:p>
        </w:tc>
      </w:tr>
      <w:tr w:rsidR="001D7367" w14:paraId="5DDBC5F2" w14:textId="77777777">
        <w:trPr>
          <w:jc w:val="center"/>
        </w:trPr>
        <w:tc>
          <w:tcPr>
            <w:tcW w:w="4819" w:type="dxa"/>
            <w:tcMar>
              <w:top w:w="55" w:type="dxa"/>
              <w:left w:w="40" w:type="dxa"/>
              <w:bottom w:w="55" w:type="dxa"/>
              <w:right w:w="80" w:type="dxa"/>
            </w:tcMar>
          </w:tcPr>
          <w:p w14:paraId="65044389" w14:textId="77777777" w:rsidR="001D7367" w:rsidRDefault="00000000">
            <w:pPr>
              <w:spacing w:after="0"/>
            </w:pPr>
            <w:r>
              <w:rPr>
                <w:b/>
                <w:sz w:val="19"/>
              </w:rPr>
              <w:t>Responsible department</w:t>
            </w:r>
          </w:p>
        </w:tc>
        <w:tc>
          <w:tcPr>
            <w:tcW w:w="4819" w:type="dxa"/>
            <w:tcMar>
              <w:top w:w="55" w:type="dxa"/>
              <w:left w:w="40" w:type="dxa"/>
              <w:bottom w:w="55" w:type="dxa"/>
              <w:right w:w="80" w:type="dxa"/>
            </w:tcMar>
          </w:tcPr>
          <w:p w14:paraId="6F9FBB27" w14:textId="77777777" w:rsidR="001D7367" w:rsidRDefault="00000000">
            <w:pPr>
              <w:spacing w:after="0"/>
            </w:pPr>
            <w:r>
              <w:rPr>
                <w:sz w:val="19"/>
              </w:rPr>
              <w:t>University Administration</w:t>
            </w:r>
          </w:p>
        </w:tc>
      </w:tr>
      <w:tr w:rsidR="001D7367" w14:paraId="67DD649A" w14:textId="77777777">
        <w:trPr>
          <w:jc w:val="center"/>
        </w:trPr>
        <w:tc>
          <w:tcPr>
            <w:tcW w:w="4819" w:type="dxa"/>
            <w:tcMar>
              <w:top w:w="55" w:type="dxa"/>
              <w:left w:w="40" w:type="dxa"/>
              <w:bottom w:w="55" w:type="dxa"/>
              <w:right w:w="80" w:type="dxa"/>
            </w:tcMar>
          </w:tcPr>
          <w:p w14:paraId="5345BBA4" w14:textId="77777777" w:rsidR="001D7367" w:rsidRDefault="00000000">
            <w:pPr>
              <w:spacing w:after="0"/>
            </w:pPr>
            <w:r>
              <w:rPr>
                <w:b/>
                <w:sz w:val="19"/>
              </w:rPr>
              <w:t>Document owner</w:t>
            </w:r>
          </w:p>
        </w:tc>
        <w:tc>
          <w:tcPr>
            <w:tcW w:w="4819" w:type="dxa"/>
            <w:tcMar>
              <w:top w:w="55" w:type="dxa"/>
              <w:left w:w="40" w:type="dxa"/>
              <w:bottom w:w="55" w:type="dxa"/>
              <w:right w:w="80" w:type="dxa"/>
            </w:tcMar>
          </w:tcPr>
          <w:p w14:paraId="353C5D8B" w14:textId="77777777" w:rsidR="001D7367" w:rsidRDefault="00000000">
            <w:pPr>
              <w:spacing w:after="0"/>
            </w:pPr>
            <w:r>
              <w:rPr>
                <w:sz w:val="19"/>
              </w:rPr>
              <w:t>Klara Öberg, Head of Gender Mainstreaming and Widening Participation</w:t>
            </w:r>
          </w:p>
        </w:tc>
      </w:tr>
    </w:tbl>
    <w:p w14:paraId="3369503F" w14:textId="77777777" w:rsidR="001D7367" w:rsidRDefault="00000000">
      <w:r>
        <w:br w:type="page"/>
      </w:r>
    </w:p>
    <w:p w14:paraId="6A3854BB" w14:textId="77777777" w:rsidR="001D7367" w:rsidRDefault="00000000">
      <w:pPr>
        <w:pStyle w:val="Rubrik1"/>
        <w:spacing w:before="240" w:after="100"/>
      </w:pPr>
      <w:r>
        <w:rPr>
          <w:rFonts w:ascii="Arial" w:hAnsi="Arial"/>
        </w:rPr>
        <w:lastRenderedPageBreak/>
        <w:t>Purpose</w:t>
      </w:r>
    </w:p>
    <w:p w14:paraId="0E176D97" w14:textId="77777777" w:rsidR="001D7367" w:rsidRDefault="00000000">
      <w:r>
        <w:t>Gender equality is an important aspect of quality at Halmstad University, as reflected in the University's overarching vision and target areas. This Gender Mainstreaming Plan covers the period 2026–2028. Gender equality is one of the concepts emphasised in the University's target areas and in its quality assurance of research and education at all levels.</w:t>
      </w:r>
      <w:r>
        <w:rPr>
          <w:color w:val="005A92"/>
          <w:sz w:val="15"/>
          <w:vertAlign w:val="superscript"/>
        </w:rPr>
        <w:t>1</w:t>
      </w:r>
      <w:r>
        <w:t xml:space="preserve"> The Plan describes the priority areas for development, objectives and measures that guide the University's work on gender mainstreaming. It has been designed to meet the requirements of Horizon Europe, the EU Framework Programme for Research and Innovation for 2021–2027. As a higher education institution, the University must also fulfil additional gender equality responsibilities set out in legislation, instructions from other public authorities, annual appropriation directions and government assignments.</w:t>
      </w:r>
    </w:p>
    <w:p w14:paraId="33D403A9" w14:textId="77777777" w:rsidR="001D7367" w:rsidRDefault="00000000">
      <w:pPr>
        <w:pStyle w:val="Rubrik1"/>
        <w:spacing w:before="240" w:after="100"/>
      </w:pPr>
      <w:r>
        <w:rPr>
          <w:rFonts w:ascii="Arial" w:hAnsi="Arial"/>
        </w:rPr>
        <w:t>Background</w:t>
      </w:r>
    </w:p>
    <w:p w14:paraId="679D4102" w14:textId="77777777" w:rsidR="001D7367" w:rsidRDefault="00000000">
      <w:r>
        <w:t>The overarching objective of Swedish gender equality policy is that women and men should have equal power to shape society and their own lives. One of its subsidiary objectives concerns gender-equal education: women and men, girls and boys, should have the same opportunities and conditions with regard to education, study choices and personal development. The other subsidiary objectives of Swedish gender equality policy, concerning power and influence, economic gender equality, health, the distribution of unpaid housework and care, men's violence against women, and the elimination of honour-related violence and oppression, also relate to areas of importance to socially relevant higher education. Understanding and implementing Swedish gender equality policy in practice requires an intersectional perspective on gender equality.</w:t>
      </w:r>
      <w:r>
        <w:rPr>
          <w:color w:val="005A92"/>
          <w:sz w:val="15"/>
          <w:vertAlign w:val="superscript"/>
        </w:rPr>
        <w:t>2</w:t>
      </w:r>
    </w:p>
    <w:p w14:paraId="16D3E908" w14:textId="77777777" w:rsidR="001D7367" w:rsidRDefault="00000000">
      <w:r>
        <w:t>Chapter 1, Section 5 of the Swedish Higher Education Act stipulates that gender equality between women and men must always be observed and promoted in the activities of higher education institutions. The Swedish Higher Education Authority (UKÄ) also defines gender equality and gender mainstreaming as important aspects of quality. This is reflected in UKÄ's reviews of the quality assurance processes of Swedish higher education institutions. Institutions are expected to ensure systematic consideration of gender equality in the content, design and delivery of their education. They are also expected to promote gender equality systematically in the conditions under which research is conducted and in the conduct of research itself.</w:t>
      </w:r>
      <w:r>
        <w:rPr>
          <w:color w:val="005A92"/>
          <w:sz w:val="15"/>
          <w:vertAlign w:val="superscript"/>
        </w:rPr>
        <w:t>3</w:t>
      </w:r>
      <w:r>
        <w:t xml:space="preserve"> The final report on the gender mainstreaming development programmes for 2020–2025 demonstrates a continuing need for long-term governance and follow-up of gender mainstreaming.</w:t>
      </w:r>
      <w:r>
        <w:rPr>
          <w:color w:val="005A92"/>
          <w:sz w:val="15"/>
          <w:vertAlign w:val="superscript"/>
        </w:rPr>
        <w:t>4</w:t>
      </w:r>
    </w:p>
    <w:p w14:paraId="5A9FA2AF" w14:textId="77777777" w:rsidR="001D7367" w:rsidRDefault="00000000">
      <w:r>
        <w:t>Gender mainstreaming means that gender equality must be incorporated into and considered as part of the ordinary work of public-sector organisations, rather than being treated as a separate strand.</w:t>
      </w:r>
      <w:r>
        <w:rPr>
          <w:color w:val="005A92"/>
          <w:sz w:val="15"/>
          <w:vertAlign w:val="superscript"/>
        </w:rPr>
        <w:t>4</w:t>
      </w:r>
      <w:r>
        <w:t xml:space="preserve"> In addition to national legislation, the Higher Education Ordinance and other requirements, Halmstad University's gender equality work is guided by international requirements for systematic gender mainstreaming. To apply for and receive funding under Horizon Europe, the EU Framework Programme for Research and Innovation for 2021–2027, the University must have a Gender Equality Plan (GEP).</w:t>
      </w:r>
    </w:p>
    <w:p w14:paraId="3930F80E" w14:textId="77777777" w:rsidR="001D7367" w:rsidRDefault="00000000">
      <w:r>
        <w:t>Halmstad University has chosen to ensure that the Plan also reflects the other gender equality responsibilities that govern the work of Swedish higher education institutions. The University has concluded that the requirements of the Framework Programme coincide with several of the development needs identified through its ordinary quality assurance processes, which are themselves grounded in the gender equality responsibilities that govern the University's activities.</w:t>
      </w:r>
    </w:p>
    <w:p w14:paraId="26A8FAD1" w14:textId="77777777" w:rsidR="001D7367" w:rsidRDefault="00000000">
      <w:r>
        <w:t>Some areas for development and activities also form part of the University's action plan for HR Excellence in Research, the European Commission's quality award for human-resources processes concerning researchers. The award is granted to higher education institutions that work actively and systematically to incorporate the principles of the European Charter for Researchers. HR Excellence in Research aims to improve researchers' working conditions, encourage greater mobility and increase the attractiveness of research careers. At EU level, the principles are grouped into four areas: ethical and professional aspects; recruitment and selection; working conditions; and training and career development.</w:t>
      </w:r>
    </w:p>
    <w:p w14:paraId="3BAAF393" w14:textId="77777777" w:rsidR="001D7367" w:rsidRDefault="00000000">
      <w:r>
        <w:lastRenderedPageBreak/>
        <w:t>Gender mainstreaming must be actively incorporated into all operational governance. This requires continuous and systematic work to identify areas for development and to take action from a gender equality perspective within the University's Schools and professional support services. This commitment is reflected in governance documents and in the evidence produced through quality assurance for education at all levels and for research, which provides the basis for follow-up and evaluation.</w:t>
      </w:r>
    </w:p>
    <w:p w14:paraId="284F2B77" w14:textId="77777777" w:rsidR="001D7367" w:rsidRDefault="00000000">
      <w:pPr>
        <w:spacing w:before="140" w:after="100"/>
      </w:pPr>
      <w:r>
        <w:rPr>
          <w:b/>
        </w:rPr>
        <w:t>The University's fundamental, overarching and continuing objectives for gender mainstreaming are to ensure that:</w:t>
      </w:r>
    </w:p>
    <w:p w14:paraId="00433EA3" w14:textId="3D78EBB6" w:rsidR="001D7367" w:rsidRDefault="00000000">
      <w:pPr>
        <w:spacing w:after="80"/>
        <w:ind w:left="312" w:hanging="312"/>
      </w:pPr>
      <w:r>
        <w:rPr>
          <w:b/>
          <w:color w:val="005A92"/>
        </w:rPr>
        <w:t xml:space="preserve">1. </w:t>
      </w:r>
      <w:r w:rsidR="004843AC">
        <w:t>A</w:t>
      </w:r>
      <w:r>
        <w:t xml:space="preserve"> gender equality perspective is integrated throughout the University's activities;</w:t>
      </w:r>
    </w:p>
    <w:p w14:paraId="2EC6B4DA" w14:textId="77777777" w:rsidR="001D7367" w:rsidRDefault="00000000">
      <w:pPr>
        <w:spacing w:after="80"/>
        <w:ind w:left="312" w:hanging="312"/>
      </w:pPr>
      <w:r>
        <w:rPr>
          <w:b/>
          <w:color w:val="005A92"/>
        </w:rPr>
        <w:t xml:space="preserve">2. </w:t>
      </w:r>
      <w:r>
        <w:t>University staff are aware of gender equality work and its relevance to their activities; and</w:t>
      </w:r>
    </w:p>
    <w:p w14:paraId="1814ED89" w14:textId="4B1EF690" w:rsidR="001D7367" w:rsidRDefault="00000000">
      <w:pPr>
        <w:spacing w:after="80"/>
        <w:ind w:left="312" w:hanging="312"/>
      </w:pPr>
      <w:r>
        <w:rPr>
          <w:b/>
          <w:color w:val="005A92"/>
        </w:rPr>
        <w:t xml:space="preserve">3. </w:t>
      </w:r>
      <w:r w:rsidR="004843AC">
        <w:t>G</w:t>
      </w:r>
      <w:r>
        <w:t>ender mainstreaming is understood as relevant to the organisation's broader work to reduce gender inequality in society and the labour market.</w:t>
      </w:r>
    </w:p>
    <w:p w14:paraId="75E95691" w14:textId="77777777" w:rsidR="001D7367" w:rsidRDefault="00000000">
      <w:pPr>
        <w:pStyle w:val="Rubrik1"/>
        <w:spacing w:before="240" w:after="100"/>
      </w:pPr>
      <w:r>
        <w:rPr>
          <w:rFonts w:ascii="Arial" w:hAnsi="Arial"/>
        </w:rPr>
        <w:t>University objectives and priorities 2026–2028</w:t>
      </w:r>
    </w:p>
    <w:p w14:paraId="13AAE28D" w14:textId="77777777" w:rsidR="001D7367" w:rsidRDefault="00000000">
      <w:r>
        <w:t>The priority areas and objectives for 2026–2028 are set out below. The Plan and its objectives will be followed up annually, following consultations with the functions responsible for implementation. The findings will be summarised in a report and will inform any necessary revisions to the Gender Mainstreaming Plan. The Head of Gender Mainstreaming and Widening Participation is responsible for preparing the report. The annual report also forms part of a systematic overview intended to improve documentation of gender mainstreaming at the University.</w:t>
      </w:r>
    </w:p>
    <w:p w14:paraId="1DC20807" w14:textId="7DE5E0E7" w:rsidR="001D7367" w:rsidRDefault="00000000">
      <w:pPr>
        <w:pStyle w:val="Rubrik2"/>
        <w:spacing w:before="180" w:after="100"/>
      </w:pPr>
      <w:r>
        <w:rPr>
          <w:rFonts w:ascii="Arial" w:hAnsi="Arial"/>
        </w:rPr>
        <w:t>1</w:t>
      </w:r>
      <w:r w:rsidR="004843AC">
        <w:rPr>
          <w:rFonts w:ascii="Arial" w:hAnsi="Arial"/>
        </w:rPr>
        <w:t>.</w:t>
      </w:r>
      <w:r>
        <w:rPr>
          <w:rFonts w:ascii="Arial" w:hAnsi="Arial"/>
        </w:rPr>
        <w:t xml:space="preserve"> The Gender Equality Plan is formally adopted and publicly available</w:t>
      </w:r>
    </w:p>
    <w:p w14:paraId="37BAAEFD" w14:textId="77777777" w:rsidR="001D7367" w:rsidRDefault="00000000">
      <w:r>
        <w:t>Under the EU Framework Programme, higher education institutions must have a Gender Equality Plan that has been formally adopted or signed and made publicly available. The Vice-Chancellor adopts the Gender Equality Plan. The Head of Gender Mainstreaming and Widening Participation is responsible for preparing and revising the Plan. The Communication Department is responsible for ensuring that the Gender Mainstreaming Plan is available on the University's intranet, Insidan, and on its external website.</w:t>
      </w:r>
    </w:p>
    <w:p w14:paraId="0FD7ED77" w14:textId="76F20203" w:rsidR="001D7367" w:rsidRDefault="00000000">
      <w:pPr>
        <w:pStyle w:val="Rubrik2"/>
        <w:spacing w:before="180" w:after="100"/>
      </w:pPr>
      <w:r>
        <w:rPr>
          <w:rFonts w:ascii="Arial" w:hAnsi="Arial"/>
        </w:rPr>
        <w:t>2</w:t>
      </w:r>
      <w:r w:rsidR="004843AC">
        <w:rPr>
          <w:rFonts w:ascii="Arial" w:hAnsi="Arial"/>
        </w:rPr>
        <w:t>.</w:t>
      </w:r>
      <w:r>
        <w:rPr>
          <w:rFonts w:ascii="Arial" w:hAnsi="Arial"/>
        </w:rPr>
        <w:t xml:space="preserve"> Resources allocated to gender mainstreaming</w:t>
      </w:r>
    </w:p>
    <w:p w14:paraId="69BDA1A1" w14:textId="77777777" w:rsidR="001D7367" w:rsidRDefault="00000000">
      <w:r>
        <w:t>The EU Framework Programme requires higher education institutions to allocate funding so that functions with appropriate expertise can support gender mainstreaming and contribute to the implementation of the Gender Equality Plan. Halmstad University must allocate sufficient resources to implement, follow up and evaluate its gender mainstreaming work. The Vice-Chancellor, Heads of School and the Director of Human Resources are responsible for allocating resources for the continuation of this work at University-wide level, within the Schools and within the Human Resources Department.</w:t>
      </w:r>
    </w:p>
    <w:p w14:paraId="2AEE8E8F" w14:textId="77777777" w:rsidR="001D7367" w:rsidRDefault="00000000">
      <w:r>
        <w:t>The University has a Head of Gender Mainstreaming and Widening Participation, funded through the Vice-Chancellor's strategic funding. The role is responsible for supporting and developing gender mainstreaming across the University and for contributing to the implementation of this Plan and the measures undertaken within the quality assurance system.</w:t>
      </w:r>
      <w:r>
        <w:rPr>
          <w:color w:val="005A92"/>
          <w:sz w:val="15"/>
          <w:vertAlign w:val="superscript"/>
        </w:rPr>
        <w:t>5</w:t>
      </w:r>
    </w:p>
    <w:p w14:paraId="1CDFBB19" w14:textId="77777777" w:rsidR="001D7367" w:rsidRDefault="00000000">
      <w:r>
        <w:t>The University's Human Resources Department works continuously on procedures, case management and information relating to threats, violence, discrimination and workplace victimisation. HR also provides staff development relating to norm-critical approaches, equal opportunities, anti-discrimination and gender mainstreaming. The University's different operational areas have access to appropriate support for gender mainstreaming so that they can meet objectives, implement measures and identify areas for development in relation to this Plan and to the activities and analyses conducted through the wider systematic quality assurance process.</w:t>
      </w:r>
    </w:p>
    <w:p w14:paraId="4E197BEF" w14:textId="3D443649" w:rsidR="001D7367" w:rsidRDefault="00000000">
      <w:pPr>
        <w:pStyle w:val="Rubrik2"/>
        <w:spacing w:before="180" w:after="100"/>
      </w:pPr>
      <w:r>
        <w:rPr>
          <w:rFonts w:ascii="Arial" w:hAnsi="Arial"/>
        </w:rPr>
        <w:t>3</w:t>
      </w:r>
      <w:r w:rsidR="004843AC">
        <w:rPr>
          <w:rFonts w:ascii="Arial" w:hAnsi="Arial"/>
        </w:rPr>
        <w:t>.</w:t>
      </w:r>
      <w:r>
        <w:rPr>
          <w:rFonts w:ascii="Arial" w:hAnsi="Arial"/>
        </w:rPr>
        <w:t xml:space="preserve"> Data collection follow-up and governance documents</w:t>
      </w:r>
    </w:p>
    <w:p w14:paraId="42B44F19" w14:textId="77777777" w:rsidR="001D7367" w:rsidRDefault="00000000">
      <w:r>
        <w:t xml:space="preserve">A gender equality perspective is integrated into the follow-up and evaluation conducted within the University's quality assurance system for education at all levels and for research. This means that the </w:t>
      </w:r>
      <w:r>
        <w:lastRenderedPageBreak/>
        <w:t>University systematically monitors and analyses sex-disaggregated quantitative data and the results generated by the quality assurance system from a gender equality perspective, and also conducts qualitative analyses. A central objective is to ensure that governance documents and procedures relating to education and research incorporate a gender equality perspective. FUN, the Deputy Vice-Chancellor for Research and the Deputy Vice-Chancellor for Quality and Education are responsible, in consultation with the Head of Gender Mainstreaming and Widening Participation, for integrating this perspective into procedures and governance documents concerning the follow-up and evaluation of education at all levels and of research.</w:t>
      </w:r>
    </w:p>
    <w:p w14:paraId="1A4B52AB" w14:textId="7CE35878" w:rsidR="001D7367" w:rsidRDefault="00000000">
      <w:pPr>
        <w:pStyle w:val="Rubrik2"/>
        <w:spacing w:before="180" w:after="100"/>
      </w:pPr>
      <w:r>
        <w:rPr>
          <w:rFonts w:ascii="Arial" w:hAnsi="Arial"/>
        </w:rPr>
        <w:t>4</w:t>
      </w:r>
      <w:r w:rsidR="004843AC">
        <w:rPr>
          <w:rFonts w:ascii="Arial" w:hAnsi="Arial"/>
        </w:rPr>
        <w:t>.</w:t>
      </w:r>
      <w:r>
        <w:rPr>
          <w:rFonts w:ascii="Arial" w:hAnsi="Arial"/>
        </w:rPr>
        <w:t xml:space="preserve"> Education and professional development</w:t>
      </w:r>
    </w:p>
    <w:p w14:paraId="56AF22C4" w14:textId="77777777" w:rsidR="001D7367" w:rsidRDefault="00000000">
      <w:r>
        <w:t>The University aims to offer staff and managers regular courses and workshops on gender mainstreaming and equal opportunities. The Human Resources Department provides continuing professional development for staff on norm-critical approaches, anti-discrimination and equal opportunities. Development work has begun to review needs and opportunities relating to professional development and gender mainstreaming. The resulting provision may be offered widely or designed for specific roles, such as managers or supervisors of doctoral students. Development work is also under way as part of the revision of the University's courses in teaching and learning in higher education, in which gender mainstreaming is one of the important perspectives. The development and implementation of these initiatives will be followed up annually. In parallel, the University is examining how course and workshop materials can be developed in conjunction with other central perspectives in higher education: widening participation, sustainability, internationalisation and collaboration.</w:t>
      </w:r>
    </w:p>
    <w:p w14:paraId="17D59F55" w14:textId="77777777" w:rsidR="001D7367" w:rsidRDefault="00000000">
      <w:r>
        <w:t>The Head of Gender Mainstreaming and Widening Participation is responsible for identifying needs and opportunities for professional development relating to gender mainstreaming, in collaboration with the Deputy Vice-Chancellor for Education, the Deputy Vice-Chancellor for Doctoral Education and Research, and the Heads of School. Professional development is undertaken in cooperation with STUL (Support for Teaching and Learning).</w:t>
      </w:r>
    </w:p>
    <w:p w14:paraId="794E4975" w14:textId="38C5FE83" w:rsidR="001D7367" w:rsidRDefault="00000000">
      <w:pPr>
        <w:pStyle w:val="Rubrik2"/>
        <w:spacing w:before="180" w:after="100"/>
      </w:pPr>
      <w:r>
        <w:rPr>
          <w:rFonts w:ascii="Arial" w:hAnsi="Arial"/>
        </w:rPr>
        <w:t>5</w:t>
      </w:r>
      <w:r w:rsidR="004843AC">
        <w:rPr>
          <w:rFonts w:ascii="Arial" w:hAnsi="Arial"/>
        </w:rPr>
        <w:t>.</w:t>
      </w:r>
      <w:r>
        <w:rPr>
          <w:rFonts w:ascii="Arial" w:hAnsi="Arial"/>
        </w:rPr>
        <w:t xml:space="preserve"> Gender equality in recruitment and career opportunities</w:t>
      </w:r>
    </w:p>
    <w:p w14:paraId="4B64F594" w14:textId="77777777" w:rsidR="001D7367" w:rsidRDefault="00000000">
      <w:r>
        <w:t>An objective of the previous Gender Mainstreaming Plan for 2022–2025 was to develop knowledge of how women and men at Halmstad University perceive their opportunities for career progression and for development in their roles as researchers and teachers. A report was compiled from focus-group discussions on this subject, the results of the staff survey and an analysis of statistics on the distribution of women and men across different roles. The activities concerning careers and gender equality set out in the University's previous Gender Mainstreaming Plan were implemented. The findings indicated considerable variation between the Schools in conditions and opportunities, based on gender-related experiences.</w:t>
      </w:r>
    </w:p>
    <w:p w14:paraId="7B2E1424" w14:textId="77777777" w:rsidR="001D7367" w:rsidRDefault="00000000">
      <w:r>
        <w:t>For 2026–2028, the Head of Gender Mainstreaming and Widening Participation will analyse the collected material. This analysis will lead to the formulation of objectives and activities at School level, which will be incorporated into operational plans. Experience and learning from this work will be communicated and exchanged within HEROES/EUA among relevant roles and groups. The Human Resources Department and the Head of Gender Mainstreaming and Widening Participation are responsible for this work. Finally, HR is responsible for further developing the University's systematic work in accordance with current anti-discrimination legislation. This objective will be implemented in accordance with Action 23 of the HR Excellence in Research Action Plan 2026–2028.</w:t>
      </w:r>
    </w:p>
    <w:p w14:paraId="31C7A011" w14:textId="77777777" w:rsidR="001D7367" w:rsidRDefault="00000000">
      <w:r>
        <w:br w:type="page"/>
      </w:r>
    </w:p>
    <w:p w14:paraId="525470BC" w14:textId="77777777" w:rsidR="001D7367" w:rsidRDefault="00000000">
      <w:pPr>
        <w:pStyle w:val="Rubrik1"/>
        <w:spacing w:before="240" w:after="100"/>
      </w:pPr>
      <w:r>
        <w:rPr>
          <w:rFonts w:ascii="Arial" w:hAnsi="Arial"/>
        </w:rPr>
        <w:lastRenderedPageBreak/>
        <w:t>Notes</w:t>
      </w:r>
    </w:p>
    <w:p w14:paraId="0C75BDDB" w14:textId="77777777" w:rsidR="001D7367" w:rsidRDefault="00000000">
      <w:pPr>
        <w:spacing w:after="60"/>
        <w:ind w:left="255" w:hanging="255"/>
      </w:pPr>
      <w:r>
        <w:rPr>
          <w:b/>
          <w:color w:val="005A92"/>
          <w:sz w:val="17"/>
        </w:rPr>
        <w:t xml:space="preserve">1 </w:t>
      </w:r>
      <w:r>
        <w:rPr>
          <w:color w:val="444444"/>
          <w:sz w:val="17"/>
        </w:rPr>
        <w:t>Halmstad University, Target Areas: https://hh.se/om-hogskolan/vision-mal-och-strategier/malbilder.html</w:t>
      </w:r>
    </w:p>
    <w:p w14:paraId="1C014112" w14:textId="77777777" w:rsidR="001D7367" w:rsidRDefault="00000000">
      <w:pPr>
        <w:spacing w:after="60"/>
        <w:ind w:left="255" w:hanging="255"/>
      </w:pPr>
      <w:r>
        <w:rPr>
          <w:b/>
          <w:color w:val="005A92"/>
          <w:sz w:val="17"/>
        </w:rPr>
        <w:t xml:space="preserve">2 </w:t>
      </w:r>
      <w:r>
        <w:rPr>
          <w:color w:val="444444"/>
          <w:sz w:val="17"/>
        </w:rPr>
        <w:t>Swedish Gender Equality Agency, Utforma myndighetens inriktning för jämställdhetsarbetet [Developing the authority's strategic direction for gender equality work], ref. no. ALLM 2020/51.</w:t>
      </w:r>
    </w:p>
    <w:p w14:paraId="772A0017" w14:textId="77777777" w:rsidR="001D7367" w:rsidRDefault="00000000">
      <w:pPr>
        <w:spacing w:after="60"/>
        <w:ind w:left="255" w:hanging="255"/>
      </w:pPr>
      <w:r>
        <w:rPr>
          <w:b/>
          <w:color w:val="005A92"/>
          <w:sz w:val="17"/>
        </w:rPr>
        <w:t xml:space="preserve">3 </w:t>
      </w:r>
      <w:r>
        <w:rPr>
          <w:color w:val="444444"/>
          <w:sz w:val="17"/>
        </w:rPr>
        <w:t>Swedish Higher Education Authority, Gender Equality as an Aspect of Quality; Guidance for Reviewing Higher Education Institutions' Quality Assurance of Research, revised May 2021, Report 2021:15: https://www.uka.se/fakta-om-hogskolan/om-jamstalldhet/jamstalldhet-som-kvalitetsfaktor.html</w:t>
      </w:r>
    </w:p>
    <w:p w14:paraId="2152672C" w14:textId="77777777" w:rsidR="001D7367" w:rsidRDefault="00000000">
      <w:pPr>
        <w:spacing w:after="60"/>
        <w:ind w:left="255" w:hanging="255"/>
      </w:pPr>
      <w:r>
        <w:rPr>
          <w:b/>
          <w:color w:val="005A92"/>
          <w:sz w:val="17"/>
        </w:rPr>
        <w:t xml:space="preserve">4 </w:t>
      </w:r>
      <w:r>
        <w:rPr>
          <w:color w:val="444444"/>
          <w:sz w:val="17"/>
        </w:rPr>
        <w:t>Swedish Gender Equality Agency, final report on gender mainstreaming in government agencies and higher education institutions: https://jamstalldhetsmyndigheten.se/media/ttwjhkms/rapport-2026-4-slutredovisning-jim-jihu-26-04-17.pdf</w:t>
      </w:r>
    </w:p>
    <w:p w14:paraId="714CBD5A" w14:textId="77777777" w:rsidR="001D7367" w:rsidRDefault="00000000">
      <w:pPr>
        <w:spacing w:after="60"/>
        <w:ind w:left="255" w:hanging="255"/>
      </w:pPr>
      <w:r>
        <w:rPr>
          <w:b/>
          <w:color w:val="005A92"/>
          <w:sz w:val="17"/>
        </w:rPr>
        <w:t xml:space="preserve">5 </w:t>
      </w:r>
      <w:r>
        <w:rPr>
          <w:color w:val="444444"/>
          <w:sz w:val="17"/>
        </w:rPr>
        <w:t>Assignment as Head of Halmstad University's work on gender mainstreaming and widening participation, ref. no. L 2024/152.</w:t>
      </w:r>
    </w:p>
    <w:p w14:paraId="280912A5" w14:textId="77777777" w:rsidR="001D7367" w:rsidRDefault="00000000">
      <w:pPr>
        <w:pStyle w:val="Rubrik1"/>
        <w:spacing w:before="240" w:after="100"/>
      </w:pPr>
      <w:r>
        <w:rPr>
          <w:rFonts w:ascii="Arial" w:hAnsi="Arial"/>
        </w:rPr>
        <w:t>Priority objectives for 2026–2028</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213"/>
        <w:gridCol w:w="3969"/>
        <w:gridCol w:w="3213"/>
      </w:tblGrid>
      <w:tr w:rsidR="001D7367" w14:paraId="165393A4" w14:textId="77777777">
        <w:trPr>
          <w:tblHeader/>
          <w:jc w:val="center"/>
        </w:trPr>
        <w:tc>
          <w:tcPr>
            <w:tcW w:w="3213" w:type="dxa"/>
            <w:shd w:val="clear" w:color="auto" w:fill="005A92"/>
            <w:tcMar>
              <w:top w:w="140" w:type="dxa"/>
              <w:left w:w="140" w:type="dxa"/>
              <w:bottom w:w="140" w:type="dxa"/>
              <w:right w:w="140" w:type="dxa"/>
            </w:tcMar>
            <w:vAlign w:val="center"/>
          </w:tcPr>
          <w:p w14:paraId="7F1CFB76" w14:textId="77777777" w:rsidR="001D7367" w:rsidRDefault="00000000">
            <w:pPr>
              <w:spacing w:after="0"/>
            </w:pPr>
            <w:r>
              <w:rPr>
                <w:b/>
                <w:color w:val="FFFFFF"/>
                <w:sz w:val="19"/>
              </w:rPr>
              <w:t>Objective</w:t>
            </w:r>
          </w:p>
        </w:tc>
        <w:tc>
          <w:tcPr>
            <w:tcW w:w="3213" w:type="dxa"/>
            <w:shd w:val="clear" w:color="auto" w:fill="005A92"/>
            <w:tcMar>
              <w:top w:w="140" w:type="dxa"/>
              <w:left w:w="140" w:type="dxa"/>
              <w:bottom w:w="140" w:type="dxa"/>
              <w:right w:w="140" w:type="dxa"/>
            </w:tcMar>
            <w:vAlign w:val="center"/>
          </w:tcPr>
          <w:p w14:paraId="15E7CE90" w14:textId="77777777" w:rsidR="001D7367" w:rsidRDefault="00000000">
            <w:pPr>
              <w:spacing w:after="0"/>
            </w:pPr>
            <w:r>
              <w:rPr>
                <w:b/>
                <w:color w:val="FFFFFF"/>
                <w:sz w:val="19"/>
              </w:rPr>
              <w:t>Purpose</w:t>
            </w:r>
          </w:p>
        </w:tc>
        <w:tc>
          <w:tcPr>
            <w:tcW w:w="3213" w:type="dxa"/>
            <w:shd w:val="clear" w:color="auto" w:fill="005A92"/>
            <w:tcMar>
              <w:top w:w="140" w:type="dxa"/>
              <w:left w:w="140" w:type="dxa"/>
              <w:bottom w:w="140" w:type="dxa"/>
              <w:right w:w="140" w:type="dxa"/>
            </w:tcMar>
            <w:vAlign w:val="center"/>
          </w:tcPr>
          <w:p w14:paraId="78EC24FA" w14:textId="77777777" w:rsidR="001D7367" w:rsidRDefault="00000000">
            <w:pPr>
              <w:spacing w:after="0"/>
            </w:pPr>
            <w:r>
              <w:rPr>
                <w:b/>
                <w:color w:val="FFFFFF"/>
                <w:sz w:val="19"/>
              </w:rPr>
              <w:t>Responsibility</w:t>
            </w:r>
          </w:p>
        </w:tc>
      </w:tr>
      <w:tr w:rsidR="001D7367" w14:paraId="6578F81B" w14:textId="77777777">
        <w:trPr>
          <w:cantSplit/>
          <w:jc w:val="center"/>
        </w:trPr>
        <w:tc>
          <w:tcPr>
            <w:tcW w:w="2551" w:type="dxa"/>
            <w:shd w:val="clear" w:color="auto" w:fill="EAF4F9"/>
            <w:tcMar>
              <w:top w:w="130" w:type="dxa"/>
              <w:left w:w="140" w:type="dxa"/>
              <w:bottom w:w="130" w:type="dxa"/>
              <w:right w:w="140" w:type="dxa"/>
            </w:tcMar>
            <w:vAlign w:val="center"/>
          </w:tcPr>
          <w:p w14:paraId="1F53C7FB" w14:textId="77777777" w:rsidR="001D7367" w:rsidRDefault="00000000">
            <w:pPr>
              <w:spacing w:after="0"/>
            </w:pPr>
            <w:r>
              <w:rPr>
                <w:sz w:val="18"/>
              </w:rPr>
              <w:t>1. The Gender Equality Plan is formally adopted and publicly available</w:t>
            </w:r>
          </w:p>
        </w:tc>
        <w:tc>
          <w:tcPr>
            <w:tcW w:w="3969" w:type="dxa"/>
            <w:shd w:val="clear" w:color="auto" w:fill="EAF4F9"/>
            <w:tcMar>
              <w:top w:w="130" w:type="dxa"/>
              <w:left w:w="140" w:type="dxa"/>
              <w:bottom w:w="130" w:type="dxa"/>
              <w:right w:w="140" w:type="dxa"/>
            </w:tcMar>
            <w:vAlign w:val="center"/>
          </w:tcPr>
          <w:p w14:paraId="6C2BB402" w14:textId="77777777" w:rsidR="001D7367" w:rsidRDefault="00000000">
            <w:pPr>
              <w:spacing w:after="0"/>
            </w:pPr>
            <w:r>
              <w:rPr>
                <w:sz w:val="18"/>
              </w:rPr>
              <w:t>To ensure that the Plan is formally adopted and visible within and outside the organisation</w:t>
            </w:r>
          </w:p>
        </w:tc>
        <w:tc>
          <w:tcPr>
            <w:tcW w:w="2835" w:type="dxa"/>
            <w:shd w:val="clear" w:color="auto" w:fill="EAF4F9"/>
            <w:tcMar>
              <w:top w:w="130" w:type="dxa"/>
              <w:left w:w="140" w:type="dxa"/>
              <w:bottom w:w="130" w:type="dxa"/>
              <w:right w:w="140" w:type="dxa"/>
            </w:tcMar>
            <w:vAlign w:val="center"/>
          </w:tcPr>
          <w:p w14:paraId="63A5AA09" w14:textId="77777777" w:rsidR="001D7367" w:rsidRDefault="00000000">
            <w:pPr>
              <w:spacing w:after="0"/>
            </w:pPr>
            <w:r>
              <w:rPr>
                <w:sz w:val="18"/>
              </w:rPr>
              <w:t>Vice-Chancellor</w:t>
            </w:r>
            <w:r>
              <w:br/>
            </w:r>
            <w:r>
              <w:rPr>
                <w:sz w:val="18"/>
              </w:rPr>
              <w:t>Head of Gender Mainstreaming and Widening Participation</w:t>
            </w:r>
            <w:r>
              <w:br/>
            </w:r>
            <w:r>
              <w:rPr>
                <w:sz w:val="18"/>
              </w:rPr>
              <w:t>Communication Department</w:t>
            </w:r>
          </w:p>
        </w:tc>
      </w:tr>
      <w:tr w:rsidR="001D7367" w14:paraId="7D573542" w14:textId="77777777">
        <w:trPr>
          <w:cantSplit/>
          <w:jc w:val="center"/>
        </w:trPr>
        <w:tc>
          <w:tcPr>
            <w:tcW w:w="2551" w:type="dxa"/>
            <w:shd w:val="clear" w:color="auto" w:fill="FFFFFF"/>
            <w:tcMar>
              <w:top w:w="130" w:type="dxa"/>
              <w:left w:w="140" w:type="dxa"/>
              <w:bottom w:w="130" w:type="dxa"/>
              <w:right w:w="140" w:type="dxa"/>
            </w:tcMar>
            <w:vAlign w:val="center"/>
          </w:tcPr>
          <w:p w14:paraId="6CD2FFAB" w14:textId="77777777" w:rsidR="001D7367" w:rsidRDefault="00000000">
            <w:pPr>
              <w:spacing w:after="0"/>
            </w:pPr>
            <w:r>
              <w:rPr>
                <w:sz w:val="18"/>
              </w:rPr>
              <w:t>2. Allocate resources to gender mainstreaming</w:t>
            </w:r>
          </w:p>
        </w:tc>
        <w:tc>
          <w:tcPr>
            <w:tcW w:w="3969" w:type="dxa"/>
            <w:shd w:val="clear" w:color="auto" w:fill="FFFFFF"/>
            <w:tcMar>
              <w:top w:w="130" w:type="dxa"/>
              <w:left w:w="140" w:type="dxa"/>
              <w:bottom w:w="130" w:type="dxa"/>
              <w:right w:w="140" w:type="dxa"/>
            </w:tcMar>
            <w:vAlign w:val="center"/>
          </w:tcPr>
          <w:p w14:paraId="75A7377B" w14:textId="77777777" w:rsidR="001D7367" w:rsidRDefault="00000000">
            <w:pPr>
              <w:spacing w:after="0"/>
            </w:pPr>
            <w:r>
              <w:rPr>
                <w:sz w:val="18"/>
              </w:rPr>
              <w:t>To establish the conditions required for gender mainstreaming</w:t>
            </w:r>
          </w:p>
        </w:tc>
        <w:tc>
          <w:tcPr>
            <w:tcW w:w="2835" w:type="dxa"/>
            <w:shd w:val="clear" w:color="auto" w:fill="FFFFFF"/>
            <w:tcMar>
              <w:top w:w="130" w:type="dxa"/>
              <w:left w:w="140" w:type="dxa"/>
              <w:bottom w:w="130" w:type="dxa"/>
              <w:right w:w="140" w:type="dxa"/>
            </w:tcMar>
            <w:vAlign w:val="center"/>
          </w:tcPr>
          <w:p w14:paraId="2B086D56" w14:textId="77777777" w:rsidR="001D7367" w:rsidRDefault="00000000">
            <w:pPr>
              <w:spacing w:after="0"/>
            </w:pPr>
            <w:r>
              <w:rPr>
                <w:sz w:val="18"/>
              </w:rPr>
              <w:t>Vice-Chancellor</w:t>
            </w:r>
            <w:r>
              <w:br/>
            </w:r>
            <w:r>
              <w:rPr>
                <w:sz w:val="18"/>
              </w:rPr>
              <w:t>Heads of School</w:t>
            </w:r>
            <w:r>
              <w:br/>
            </w:r>
            <w:r>
              <w:rPr>
                <w:sz w:val="18"/>
              </w:rPr>
              <w:t>Director of Human Resources</w:t>
            </w:r>
          </w:p>
        </w:tc>
      </w:tr>
      <w:tr w:rsidR="001D7367" w14:paraId="06338D3A" w14:textId="77777777">
        <w:trPr>
          <w:cantSplit/>
          <w:jc w:val="center"/>
        </w:trPr>
        <w:tc>
          <w:tcPr>
            <w:tcW w:w="2551" w:type="dxa"/>
            <w:shd w:val="clear" w:color="auto" w:fill="EAF4F9"/>
            <w:tcMar>
              <w:top w:w="130" w:type="dxa"/>
              <w:left w:w="140" w:type="dxa"/>
              <w:bottom w:w="130" w:type="dxa"/>
              <w:right w:w="140" w:type="dxa"/>
            </w:tcMar>
            <w:vAlign w:val="center"/>
          </w:tcPr>
          <w:p w14:paraId="15A32DF3" w14:textId="77777777" w:rsidR="001D7367" w:rsidRDefault="00000000">
            <w:pPr>
              <w:spacing w:after="0"/>
            </w:pPr>
            <w:r>
              <w:rPr>
                <w:sz w:val="18"/>
              </w:rPr>
              <w:t>3. Data collection follow-up and governance documents</w:t>
            </w:r>
          </w:p>
        </w:tc>
        <w:tc>
          <w:tcPr>
            <w:tcW w:w="3969" w:type="dxa"/>
            <w:shd w:val="clear" w:color="auto" w:fill="EAF4F9"/>
            <w:tcMar>
              <w:top w:w="130" w:type="dxa"/>
              <w:left w:w="140" w:type="dxa"/>
              <w:bottom w:w="130" w:type="dxa"/>
              <w:right w:w="140" w:type="dxa"/>
            </w:tcMar>
            <w:vAlign w:val="center"/>
          </w:tcPr>
          <w:p w14:paraId="30267841" w14:textId="77777777" w:rsidR="001D7367" w:rsidRDefault="00000000">
            <w:pPr>
              <w:spacing w:after="0"/>
            </w:pPr>
            <w:r>
              <w:rPr>
                <w:sz w:val="18"/>
              </w:rPr>
              <w:t>To collect data and conduct qualitative analyses in order to maintain an up-to-date evidence base on gender mainstreaming in education at all levels and in research, and to comply with governance requirements</w:t>
            </w:r>
          </w:p>
        </w:tc>
        <w:tc>
          <w:tcPr>
            <w:tcW w:w="2835" w:type="dxa"/>
            <w:shd w:val="clear" w:color="auto" w:fill="EAF4F9"/>
            <w:tcMar>
              <w:top w:w="130" w:type="dxa"/>
              <w:left w:w="140" w:type="dxa"/>
              <w:bottom w:w="130" w:type="dxa"/>
              <w:right w:w="140" w:type="dxa"/>
            </w:tcMar>
            <w:vAlign w:val="center"/>
          </w:tcPr>
          <w:p w14:paraId="4EE01933" w14:textId="77777777" w:rsidR="001D7367" w:rsidRDefault="00000000">
            <w:pPr>
              <w:spacing w:after="0"/>
            </w:pPr>
            <w:r>
              <w:rPr>
                <w:sz w:val="18"/>
              </w:rPr>
              <w:t>Deputy Vice-Chancellor for Quality and Education</w:t>
            </w:r>
            <w:r>
              <w:br/>
            </w:r>
            <w:r>
              <w:rPr>
                <w:sz w:val="18"/>
              </w:rPr>
              <w:t>Deputy Vice-Chancellor for Research and Doctoral Education</w:t>
            </w:r>
            <w:r>
              <w:br/>
            </w:r>
            <w:r>
              <w:rPr>
                <w:sz w:val="18"/>
              </w:rPr>
              <w:t>KR</w:t>
            </w:r>
            <w:r>
              <w:br/>
            </w:r>
            <w:r>
              <w:rPr>
                <w:sz w:val="18"/>
              </w:rPr>
              <w:t>FUN</w:t>
            </w:r>
            <w:r>
              <w:br/>
            </w:r>
            <w:r>
              <w:rPr>
                <w:sz w:val="18"/>
              </w:rPr>
              <w:t>Head of Gender Mainstreaming and Widening Participation</w:t>
            </w:r>
          </w:p>
        </w:tc>
      </w:tr>
      <w:tr w:rsidR="001D7367" w14:paraId="3BF58B30" w14:textId="77777777">
        <w:trPr>
          <w:cantSplit/>
          <w:jc w:val="center"/>
        </w:trPr>
        <w:tc>
          <w:tcPr>
            <w:tcW w:w="2551" w:type="dxa"/>
            <w:shd w:val="clear" w:color="auto" w:fill="FFFFFF"/>
            <w:tcMar>
              <w:top w:w="130" w:type="dxa"/>
              <w:left w:w="140" w:type="dxa"/>
              <w:bottom w:w="130" w:type="dxa"/>
              <w:right w:w="140" w:type="dxa"/>
            </w:tcMar>
            <w:vAlign w:val="center"/>
          </w:tcPr>
          <w:p w14:paraId="02BD996E" w14:textId="77777777" w:rsidR="001D7367" w:rsidRDefault="00000000">
            <w:pPr>
              <w:spacing w:after="0"/>
            </w:pPr>
            <w:r>
              <w:rPr>
                <w:sz w:val="18"/>
              </w:rPr>
              <w:t>4. Education and professional development</w:t>
            </w:r>
          </w:p>
        </w:tc>
        <w:tc>
          <w:tcPr>
            <w:tcW w:w="3969" w:type="dxa"/>
            <w:shd w:val="clear" w:color="auto" w:fill="FFFFFF"/>
            <w:tcMar>
              <w:top w:w="130" w:type="dxa"/>
              <w:left w:w="140" w:type="dxa"/>
              <w:bottom w:w="130" w:type="dxa"/>
              <w:right w:w="140" w:type="dxa"/>
            </w:tcMar>
            <w:vAlign w:val="center"/>
          </w:tcPr>
          <w:p w14:paraId="3EB3BCA5" w14:textId="77777777" w:rsidR="001D7367" w:rsidRDefault="00000000">
            <w:pPr>
              <w:spacing w:after="0"/>
            </w:pPr>
            <w:r>
              <w:rPr>
                <w:sz w:val="18"/>
              </w:rPr>
              <w:t>To increase awareness and knowledge of gender mainstreaming among staff and managers</w:t>
            </w:r>
          </w:p>
        </w:tc>
        <w:tc>
          <w:tcPr>
            <w:tcW w:w="2835" w:type="dxa"/>
            <w:shd w:val="clear" w:color="auto" w:fill="FFFFFF"/>
            <w:tcMar>
              <w:top w:w="130" w:type="dxa"/>
              <w:left w:w="140" w:type="dxa"/>
              <w:bottom w:w="130" w:type="dxa"/>
              <w:right w:w="140" w:type="dxa"/>
            </w:tcMar>
            <w:vAlign w:val="center"/>
          </w:tcPr>
          <w:p w14:paraId="1058DBD1" w14:textId="77777777" w:rsidR="001D7367" w:rsidRDefault="00000000">
            <w:pPr>
              <w:spacing w:after="0"/>
            </w:pPr>
            <w:r>
              <w:rPr>
                <w:sz w:val="18"/>
              </w:rPr>
              <w:t>Head of Gender Mainstreaming and Widening Participation</w:t>
            </w:r>
            <w:r>
              <w:br/>
            </w:r>
            <w:r>
              <w:rPr>
                <w:sz w:val="18"/>
              </w:rPr>
              <w:t>Human Resources Department</w:t>
            </w:r>
          </w:p>
        </w:tc>
      </w:tr>
      <w:tr w:rsidR="001D7367" w14:paraId="1BA06D7B" w14:textId="77777777">
        <w:trPr>
          <w:cantSplit/>
          <w:jc w:val="center"/>
        </w:trPr>
        <w:tc>
          <w:tcPr>
            <w:tcW w:w="2551" w:type="dxa"/>
            <w:shd w:val="clear" w:color="auto" w:fill="EAF4F9"/>
            <w:tcMar>
              <w:top w:w="130" w:type="dxa"/>
              <w:left w:w="140" w:type="dxa"/>
              <w:bottom w:w="130" w:type="dxa"/>
              <w:right w:w="140" w:type="dxa"/>
            </w:tcMar>
            <w:vAlign w:val="center"/>
          </w:tcPr>
          <w:p w14:paraId="55E974FF" w14:textId="77777777" w:rsidR="001D7367" w:rsidRDefault="00000000">
            <w:pPr>
              <w:spacing w:after="0"/>
            </w:pPr>
            <w:r>
              <w:rPr>
                <w:sz w:val="18"/>
              </w:rPr>
              <w:t>5. Gender equality in recruitment and career opportunities</w:t>
            </w:r>
          </w:p>
        </w:tc>
        <w:tc>
          <w:tcPr>
            <w:tcW w:w="3969" w:type="dxa"/>
            <w:shd w:val="clear" w:color="auto" w:fill="EAF4F9"/>
            <w:tcMar>
              <w:top w:w="130" w:type="dxa"/>
              <w:left w:w="140" w:type="dxa"/>
              <w:bottom w:w="130" w:type="dxa"/>
              <w:right w:w="140" w:type="dxa"/>
            </w:tcMar>
            <w:vAlign w:val="center"/>
          </w:tcPr>
          <w:p w14:paraId="783A3C31" w14:textId="77777777" w:rsidR="001D7367" w:rsidRDefault="00000000">
            <w:pPr>
              <w:spacing w:after="0"/>
            </w:pPr>
            <w:r>
              <w:rPr>
                <w:sz w:val="18"/>
              </w:rPr>
              <w:t>A. Analyse the collected material and identify strategies (Head of Gender Mainstreaming and Widening Participation).</w:t>
            </w:r>
            <w:r>
              <w:br/>
            </w:r>
            <w:r>
              <w:br/>
            </w:r>
            <w:r>
              <w:rPr>
                <w:sz w:val="18"/>
              </w:rPr>
              <w:t>B. Formulate objectives and activities relating to career opportunities for researchers and teachers (Heads of School).</w:t>
            </w:r>
            <w:r>
              <w:br/>
            </w:r>
            <w:r>
              <w:br/>
            </w:r>
            <w:r>
              <w:rPr>
                <w:sz w:val="18"/>
              </w:rPr>
              <w:t>C. Exchange experience with other higher education institutions through HEROES/EUA (Head of Gender Mainstreaming and Widening Participation and HR).</w:t>
            </w:r>
            <w:r>
              <w:br/>
            </w:r>
            <w:r>
              <w:br/>
            </w:r>
            <w:r>
              <w:rPr>
                <w:sz w:val="18"/>
              </w:rPr>
              <w:t>D. Develop the University's systematic work in accordance with current anti-discrimination legislation (HR).</w:t>
            </w:r>
          </w:p>
        </w:tc>
        <w:tc>
          <w:tcPr>
            <w:tcW w:w="2835" w:type="dxa"/>
            <w:shd w:val="clear" w:color="auto" w:fill="EAF4F9"/>
            <w:tcMar>
              <w:top w:w="130" w:type="dxa"/>
              <w:left w:w="140" w:type="dxa"/>
              <w:bottom w:w="130" w:type="dxa"/>
              <w:right w:w="140" w:type="dxa"/>
            </w:tcMar>
            <w:vAlign w:val="center"/>
          </w:tcPr>
          <w:p w14:paraId="6D2410AB" w14:textId="77777777" w:rsidR="001D7367" w:rsidRDefault="00000000">
            <w:pPr>
              <w:spacing w:after="0"/>
            </w:pPr>
            <w:r>
              <w:rPr>
                <w:sz w:val="18"/>
              </w:rPr>
              <w:t>Human Resources Department</w:t>
            </w:r>
            <w:r>
              <w:br/>
            </w:r>
            <w:r>
              <w:rPr>
                <w:sz w:val="18"/>
              </w:rPr>
              <w:t>Heads of School</w:t>
            </w:r>
            <w:r>
              <w:br/>
            </w:r>
            <w:r>
              <w:rPr>
                <w:sz w:val="18"/>
              </w:rPr>
              <w:t>Head of Gender Mainstreaming and Widening Participation</w:t>
            </w:r>
          </w:p>
        </w:tc>
      </w:tr>
    </w:tbl>
    <w:p w14:paraId="7494B6D0" w14:textId="77777777" w:rsidR="008042F6" w:rsidRDefault="008042F6"/>
    <w:sectPr w:rsidR="008042F6" w:rsidSect="00034616">
      <w:footerReference w:type="default" r:id="rId9"/>
      <w:pgSz w:w="11906" w:h="16838"/>
      <w:pgMar w:top="1020" w:right="1134" w:bottom="907" w:left="1134" w:header="720" w:footer="45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1FB1BDC" w14:textId="77777777" w:rsidR="008042F6" w:rsidRDefault="008042F6">
      <w:pPr>
        <w:spacing w:after="0" w:line="240" w:lineRule="auto"/>
      </w:pPr>
      <w:r>
        <w:separator/>
      </w:r>
    </w:p>
  </w:endnote>
  <w:endnote w:type="continuationSeparator" w:id="0">
    <w:p w14:paraId="52C312C5" w14:textId="77777777" w:rsidR="008042F6" w:rsidRDefault="008042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notTrueType/>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848B05E" w14:textId="77777777" w:rsidR="001D7367" w:rsidRDefault="00000000">
    <w:pPr>
      <w:pStyle w:val="Sidfot"/>
      <w:jc w:val="right"/>
    </w:pPr>
    <w:r>
      <w:rPr>
        <w:color w:val="666666"/>
        <w:sz w:val="18"/>
      </w:rPr>
      <w:fldChar w:fldCharType="begin"/>
    </w:r>
    <w:r>
      <w:rPr>
        <w:color w:val="666666"/>
        <w:sz w:val="18"/>
      </w:rPr>
      <w:instrText xml:space="preserve"> PAGE </w:instrText>
    </w:r>
    <w:r>
      <w:rPr>
        <w:color w:val="666666"/>
        <w:sz w:val="18"/>
      </w:rPr>
      <w:fldChar w:fldCharType="separate"/>
    </w:r>
    <w:r>
      <w:rPr>
        <w:color w:val="666666"/>
        <w:sz w:val="18"/>
      </w:rPr>
      <w:t>2</w:t>
    </w:r>
    <w:r>
      <w:rPr>
        <w:color w:val="666666"/>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D8A3B89" w14:textId="77777777" w:rsidR="008042F6" w:rsidRDefault="008042F6">
      <w:pPr>
        <w:spacing w:after="0" w:line="240" w:lineRule="auto"/>
      </w:pPr>
      <w:r>
        <w:separator/>
      </w:r>
    </w:p>
  </w:footnote>
  <w:footnote w:type="continuationSeparator" w:id="0">
    <w:p w14:paraId="1783B5C3" w14:textId="77777777" w:rsidR="008042F6" w:rsidRDefault="008042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reradlist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reradlist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ktlist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ktlist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reradlist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ktlista"/>
      <w:lvlText w:val=""/>
      <w:lvlJc w:val="left"/>
      <w:pPr>
        <w:tabs>
          <w:tab w:val="num" w:pos="360"/>
        </w:tabs>
        <w:ind w:left="360" w:hanging="360"/>
      </w:pPr>
      <w:rPr>
        <w:rFonts w:ascii="Symbol" w:hAnsi="Symbol" w:hint="default"/>
      </w:rPr>
    </w:lvl>
  </w:abstractNum>
  <w:num w:numId="1" w16cid:durableId="328409144">
    <w:abstractNumId w:val="8"/>
  </w:num>
  <w:num w:numId="2" w16cid:durableId="1459030725">
    <w:abstractNumId w:val="6"/>
  </w:num>
  <w:num w:numId="3" w16cid:durableId="1750615885">
    <w:abstractNumId w:val="5"/>
  </w:num>
  <w:num w:numId="4" w16cid:durableId="175047224">
    <w:abstractNumId w:val="4"/>
  </w:num>
  <w:num w:numId="5" w16cid:durableId="1487630395">
    <w:abstractNumId w:val="7"/>
  </w:num>
  <w:num w:numId="6" w16cid:durableId="1987470161">
    <w:abstractNumId w:val="3"/>
  </w:num>
  <w:num w:numId="7" w16cid:durableId="83458057">
    <w:abstractNumId w:val="2"/>
  </w:num>
  <w:num w:numId="8" w16cid:durableId="1788691879">
    <w:abstractNumId w:val="1"/>
  </w:num>
  <w:num w:numId="9" w16cid:durableId="58040811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D7367"/>
    <w:rsid w:val="0029639D"/>
    <w:rsid w:val="00326F90"/>
    <w:rsid w:val="004843AC"/>
    <w:rsid w:val="008042F6"/>
    <w:rsid w:val="00A752DD"/>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5C180EE"/>
  <w14:defaultImageDpi w14:val="300"/>
  <w15:docId w15:val="{35B7F184-8881-0746-A920-FD0AF48FB5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line="269" w:lineRule="auto"/>
    </w:pPr>
    <w:rPr>
      <w:rFonts w:ascii="Arial" w:hAnsi="Arial"/>
      <w:sz w:val="21"/>
    </w:rPr>
  </w:style>
  <w:style w:type="paragraph" w:styleId="Rubrik1">
    <w:name w:val="heading 1"/>
    <w:basedOn w:val="Normal"/>
    <w:next w:val="Normal"/>
    <w:link w:val="Rubrik1Char"/>
    <w:uiPriority w:val="9"/>
    <w:qFormat/>
    <w:rsid w:val="00FC693F"/>
    <w:pPr>
      <w:keepNext/>
      <w:keepLines/>
      <w:spacing w:before="480" w:after="0"/>
      <w:outlineLvl w:val="0"/>
    </w:pPr>
    <w:rPr>
      <w:rFonts w:asciiTheme="majorHAnsi" w:eastAsiaTheme="majorEastAsia" w:hAnsiTheme="majorHAnsi" w:cstheme="majorBidi"/>
      <w:b/>
      <w:bCs/>
      <w:color w:val="000000"/>
      <w:sz w:val="30"/>
      <w:szCs w:val="28"/>
    </w:rPr>
  </w:style>
  <w:style w:type="paragraph" w:styleId="Rubrik2">
    <w:name w:val="heading 2"/>
    <w:basedOn w:val="Normal"/>
    <w:next w:val="Normal"/>
    <w:link w:val="Rubrik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3"/>
      <w:szCs w:val="26"/>
    </w:rPr>
  </w:style>
  <w:style w:type="paragraph" w:styleId="Rubrik3">
    <w:name w:val="heading 3"/>
    <w:basedOn w:val="Normal"/>
    <w:next w:val="Normal"/>
    <w:link w:val="Rubri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Rubrik4">
    <w:name w:val="heading 4"/>
    <w:basedOn w:val="Normal"/>
    <w:next w:val="Normal"/>
    <w:link w:val="Rubri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Rubrik5">
    <w:name w:val="heading 5"/>
    <w:basedOn w:val="Normal"/>
    <w:next w:val="Normal"/>
    <w:link w:val="Rubri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Rubrik6">
    <w:name w:val="heading 6"/>
    <w:basedOn w:val="Normal"/>
    <w:next w:val="Normal"/>
    <w:link w:val="Rubri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Rubrik7">
    <w:name w:val="heading 7"/>
    <w:basedOn w:val="Normal"/>
    <w:next w:val="Normal"/>
    <w:link w:val="Rubri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Rubrik8">
    <w:name w:val="heading 8"/>
    <w:basedOn w:val="Normal"/>
    <w:next w:val="Normal"/>
    <w:link w:val="Rubri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Rubrik9">
    <w:name w:val="heading 9"/>
    <w:basedOn w:val="Normal"/>
    <w:next w:val="Normal"/>
    <w:link w:val="Rubri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E618BF"/>
    <w:pPr>
      <w:tabs>
        <w:tab w:val="center" w:pos="4680"/>
        <w:tab w:val="right" w:pos="9360"/>
      </w:tabs>
      <w:spacing w:after="0" w:line="240" w:lineRule="auto"/>
    </w:pPr>
  </w:style>
  <w:style w:type="character" w:customStyle="1" w:styleId="SidhuvudChar">
    <w:name w:val="Sidhuvud Char"/>
    <w:basedOn w:val="Standardstycketeckensnitt"/>
    <w:link w:val="Sidhuvud"/>
    <w:uiPriority w:val="99"/>
    <w:rsid w:val="00E618BF"/>
  </w:style>
  <w:style w:type="paragraph" w:styleId="Sidfot">
    <w:name w:val="footer"/>
    <w:basedOn w:val="Normal"/>
    <w:link w:val="SidfotChar"/>
    <w:uiPriority w:val="99"/>
    <w:unhideWhenUsed/>
    <w:rsid w:val="00E618BF"/>
    <w:pPr>
      <w:tabs>
        <w:tab w:val="center" w:pos="4680"/>
        <w:tab w:val="right" w:pos="9360"/>
      </w:tabs>
      <w:spacing w:after="0" w:line="240" w:lineRule="auto"/>
    </w:pPr>
  </w:style>
  <w:style w:type="character" w:customStyle="1" w:styleId="SidfotChar">
    <w:name w:val="Sidfot Char"/>
    <w:basedOn w:val="Standardstycketeckensnitt"/>
    <w:link w:val="Sidfot"/>
    <w:uiPriority w:val="99"/>
    <w:rsid w:val="00E618BF"/>
  </w:style>
  <w:style w:type="paragraph" w:styleId="Ingetavstnd">
    <w:name w:val="No Spacing"/>
    <w:uiPriority w:val="1"/>
    <w:qFormat/>
    <w:rsid w:val="00FC693F"/>
    <w:pPr>
      <w:spacing w:after="0" w:line="240" w:lineRule="auto"/>
    </w:pPr>
  </w:style>
  <w:style w:type="character" w:customStyle="1" w:styleId="Rubrik1Char">
    <w:name w:val="Rubrik 1 Char"/>
    <w:basedOn w:val="Standardstycketeckensnitt"/>
    <w:link w:val="Rubri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Rubrik2Char">
    <w:name w:val="Rubrik 2 Char"/>
    <w:basedOn w:val="Standardstycketeckensnitt"/>
    <w:link w:val="Rubrik2"/>
    <w:uiPriority w:val="9"/>
    <w:rsid w:val="00FC693F"/>
    <w:rPr>
      <w:rFonts w:asciiTheme="majorHAnsi" w:eastAsiaTheme="majorEastAsia" w:hAnsiTheme="majorHAnsi" w:cstheme="majorBidi"/>
      <w:b/>
      <w:bCs/>
      <w:color w:val="4F81BD" w:themeColor="accent1"/>
      <w:sz w:val="26"/>
      <w:szCs w:val="26"/>
    </w:rPr>
  </w:style>
  <w:style w:type="character" w:customStyle="1" w:styleId="Rubrik3Char">
    <w:name w:val="Rubrik 3 Char"/>
    <w:basedOn w:val="Standardstycketeckensnitt"/>
    <w:link w:val="Rubrik3"/>
    <w:uiPriority w:val="9"/>
    <w:rsid w:val="00FC693F"/>
    <w:rPr>
      <w:rFonts w:asciiTheme="majorHAnsi" w:eastAsiaTheme="majorEastAsia" w:hAnsiTheme="majorHAnsi" w:cstheme="majorBidi"/>
      <w:b/>
      <w:bCs/>
      <w:color w:val="4F81BD" w:themeColor="accent1"/>
    </w:rPr>
  </w:style>
  <w:style w:type="paragraph" w:styleId="Rubrik">
    <w:name w:val="Title"/>
    <w:basedOn w:val="Normal"/>
    <w:next w:val="Normal"/>
    <w:link w:val="RubrikChar"/>
    <w:uiPriority w:val="10"/>
    <w:qFormat/>
    <w:rsid w:val="00FC693F"/>
    <w:pPr>
      <w:spacing w:after="300" w:line="240" w:lineRule="auto"/>
      <w:contextualSpacing/>
    </w:pPr>
    <w:rPr>
      <w:rFonts w:asciiTheme="majorHAnsi" w:eastAsiaTheme="majorEastAsia" w:hAnsiTheme="majorHAnsi" w:cstheme="majorBidi"/>
      <w:color w:val="000000"/>
      <w:spacing w:val="5"/>
      <w:kern w:val="28"/>
      <w:sz w:val="58"/>
      <w:szCs w:val="52"/>
    </w:rPr>
  </w:style>
  <w:style w:type="character" w:customStyle="1" w:styleId="RubrikChar">
    <w:name w:val="Rubrik Char"/>
    <w:basedOn w:val="Standardstycketeckensnitt"/>
    <w:link w:val="Rubrik"/>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derrubrik">
    <w:name w:val="Subtitle"/>
    <w:basedOn w:val="Normal"/>
    <w:next w:val="Normal"/>
    <w:link w:val="Underrubrik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derrubrikChar">
    <w:name w:val="Underrubrik Char"/>
    <w:basedOn w:val="Standardstycketeckensnitt"/>
    <w:link w:val="Underrubrik"/>
    <w:uiPriority w:val="11"/>
    <w:rsid w:val="00FC693F"/>
    <w:rPr>
      <w:rFonts w:asciiTheme="majorHAnsi" w:eastAsiaTheme="majorEastAsia" w:hAnsiTheme="majorHAnsi" w:cstheme="majorBidi"/>
      <w:i/>
      <w:iCs/>
      <w:color w:val="4F81BD" w:themeColor="accent1"/>
      <w:spacing w:val="15"/>
      <w:sz w:val="24"/>
      <w:szCs w:val="24"/>
    </w:rPr>
  </w:style>
  <w:style w:type="paragraph" w:styleId="Liststycke">
    <w:name w:val="List Paragraph"/>
    <w:basedOn w:val="Normal"/>
    <w:uiPriority w:val="34"/>
    <w:qFormat/>
    <w:rsid w:val="00FC693F"/>
    <w:pPr>
      <w:ind w:left="720"/>
      <w:contextualSpacing/>
    </w:pPr>
  </w:style>
  <w:style w:type="paragraph" w:styleId="Brdtext">
    <w:name w:val="Body Text"/>
    <w:basedOn w:val="Normal"/>
    <w:link w:val="BrdtextChar"/>
    <w:uiPriority w:val="99"/>
    <w:unhideWhenUsed/>
    <w:rsid w:val="00AA1D8D"/>
    <w:pPr>
      <w:spacing w:after="120"/>
    </w:pPr>
  </w:style>
  <w:style w:type="character" w:customStyle="1" w:styleId="BrdtextChar">
    <w:name w:val="Brödtext Char"/>
    <w:basedOn w:val="Standardstycketeckensnitt"/>
    <w:link w:val="Brdtext"/>
    <w:uiPriority w:val="99"/>
    <w:rsid w:val="00AA1D8D"/>
  </w:style>
  <w:style w:type="paragraph" w:styleId="Brdtext2">
    <w:name w:val="Body Text 2"/>
    <w:basedOn w:val="Normal"/>
    <w:link w:val="Brdtext2Char"/>
    <w:uiPriority w:val="99"/>
    <w:unhideWhenUsed/>
    <w:rsid w:val="00AA1D8D"/>
    <w:pPr>
      <w:spacing w:after="120" w:line="480" w:lineRule="auto"/>
    </w:pPr>
  </w:style>
  <w:style w:type="character" w:customStyle="1" w:styleId="Brdtext2Char">
    <w:name w:val="Brödtext 2 Char"/>
    <w:basedOn w:val="Standardstycketeckensnitt"/>
    <w:link w:val="Brdtext2"/>
    <w:uiPriority w:val="99"/>
    <w:rsid w:val="00AA1D8D"/>
  </w:style>
  <w:style w:type="paragraph" w:styleId="Brdtext3">
    <w:name w:val="Body Text 3"/>
    <w:basedOn w:val="Normal"/>
    <w:link w:val="Brdtext3Char"/>
    <w:uiPriority w:val="99"/>
    <w:unhideWhenUsed/>
    <w:rsid w:val="00AA1D8D"/>
    <w:pPr>
      <w:spacing w:after="120"/>
    </w:pPr>
    <w:rPr>
      <w:sz w:val="16"/>
      <w:szCs w:val="16"/>
    </w:rPr>
  </w:style>
  <w:style w:type="character" w:customStyle="1" w:styleId="Brdtext3Char">
    <w:name w:val="Brödtext 3 Char"/>
    <w:basedOn w:val="Standardstycketeckensnitt"/>
    <w:link w:val="Brdtext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Punktlista">
    <w:name w:val="List Bullet"/>
    <w:basedOn w:val="Normal"/>
    <w:uiPriority w:val="99"/>
    <w:unhideWhenUsed/>
    <w:rsid w:val="00326F90"/>
    <w:pPr>
      <w:numPr>
        <w:numId w:val="1"/>
      </w:numPr>
      <w:contextualSpacing/>
    </w:pPr>
  </w:style>
  <w:style w:type="paragraph" w:styleId="Punktlista2">
    <w:name w:val="List Bullet 2"/>
    <w:basedOn w:val="Normal"/>
    <w:uiPriority w:val="99"/>
    <w:unhideWhenUsed/>
    <w:rsid w:val="00326F90"/>
    <w:pPr>
      <w:numPr>
        <w:numId w:val="2"/>
      </w:numPr>
      <w:contextualSpacing/>
    </w:pPr>
  </w:style>
  <w:style w:type="paragraph" w:styleId="Punktlista3">
    <w:name w:val="List Bullet 3"/>
    <w:basedOn w:val="Normal"/>
    <w:uiPriority w:val="99"/>
    <w:unhideWhenUsed/>
    <w:rsid w:val="00326F90"/>
    <w:pPr>
      <w:numPr>
        <w:numId w:val="3"/>
      </w:numPr>
      <w:contextualSpacing/>
    </w:pPr>
  </w:style>
  <w:style w:type="paragraph" w:styleId="Numreradlista">
    <w:name w:val="List Number"/>
    <w:basedOn w:val="Normal"/>
    <w:uiPriority w:val="99"/>
    <w:unhideWhenUsed/>
    <w:rsid w:val="00326F90"/>
    <w:pPr>
      <w:numPr>
        <w:numId w:val="5"/>
      </w:numPr>
      <w:contextualSpacing/>
    </w:pPr>
  </w:style>
  <w:style w:type="paragraph" w:styleId="Numreradlista2">
    <w:name w:val="List Number 2"/>
    <w:basedOn w:val="Normal"/>
    <w:uiPriority w:val="99"/>
    <w:unhideWhenUsed/>
    <w:rsid w:val="0029639D"/>
    <w:pPr>
      <w:numPr>
        <w:numId w:val="6"/>
      </w:numPr>
      <w:contextualSpacing/>
    </w:pPr>
  </w:style>
  <w:style w:type="paragraph" w:styleId="Numreradlista3">
    <w:name w:val="List Number 3"/>
    <w:basedOn w:val="Normal"/>
    <w:uiPriority w:val="99"/>
    <w:unhideWhenUsed/>
    <w:rsid w:val="0029639D"/>
    <w:pPr>
      <w:numPr>
        <w:numId w:val="7"/>
      </w:numPr>
      <w:contextualSpacing/>
    </w:pPr>
  </w:style>
  <w:style w:type="paragraph" w:styleId="Listafortstt">
    <w:name w:val="List Continue"/>
    <w:basedOn w:val="Normal"/>
    <w:uiPriority w:val="99"/>
    <w:unhideWhenUsed/>
    <w:rsid w:val="0029639D"/>
    <w:pPr>
      <w:spacing w:after="120"/>
      <w:ind w:left="360"/>
      <w:contextualSpacing/>
    </w:pPr>
  </w:style>
  <w:style w:type="paragraph" w:styleId="Listafortstt2">
    <w:name w:val="List Continue 2"/>
    <w:basedOn w:val="Normal"/>
    <w:uiPriority w:val="99"/>
    <w:unhideWhenUsed/>
    <w:rsid w:val="0029639D"/>
    <w:pPr>
      <w:spacing w:after="120"/>
      <w:ind w:left="720"/>
      <w:contextualSpacing/>
    </w:pPr>
  </w:style>
  <w:style w:type="paragraph" w:styleId="Listafortstt3">
    <w:name w:val="List Continue 3"/>
    <w:basedOn w:val="Normal"/>
    <w:uiPriority w:val="99"/>
    <w:unhideWhenUsed/>
    <w:rsid w:val="0029639D"/>
    <w:pPr>
      <w:spacing w:after="120"/>
      <w:ind w:left="1080"/>
      <w:contextualSpacing/>
    </w:pPr>
  </w:style>
  <w:style w:type="paragraph" w:styleId="Makrotext">
    <w:name w:val="macro"/>
    <w:link w:val="Mak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Char">
    <w:name w:val="Makrotext Char"/>
    <w:basedOn w:val="Standardstycketeckensnitt"/>
    <w:link w:val="Makrotext"/>
    <w:uiPriority w:val="99"/>
    <w:rsid w:val="0029639D"/>
    <w:rPr>
      <w:rFonts w:ascii="Courier" w:hAnsi="Courier"/>
      <w:sz w:val="20"/>
      <w:szCs w:val="20"/>
    </w:rPr>
  </w:style>
  <w:style w:type="paragraph" w:styleId="Citat">
    <w:name w:val="Quote"/>
    <w:basedOn w:val="Normal"/>
    <w:next w:val="Normal"/>
    <w:link w:val="CitatChar"/>
    <w:uiPriority w:val="29"/>
    <w:qFormat/>
    <w:rsid w:val="00FC693F"/>
    <w:rPr>
      <w:i/>
      <w:iCs/>
      <w:color w:val="000000" w:themeColor="text1"/>
    </w:rPr>
  </w:style>
  <w:style w:type="character" w:customStyle="1" w:styleId="CitatChar">
    <w:name w:val="Citat Char"/>
    <w:basedOn w:val="Standardstycketeckensnitt"/>
    <w:link w:val="Citat"/>
    <w:uiPriority w:val="29"/>
    <w:rsid w:val="00FC693F"/>
    <w:rPr>
      <w:i/>
      <w:iCs/>
      <w:color w:val="000000" w:themeColor="text1"/>
    </w:rPr>
  </w:style>
  <w:style w:type="character" w:customStyle="1" w:styleId="Rubrik4Char">
    <w:name w:val="Rubrik 4 Char"/>
    <w:basedOn w:val="Standardstycketeckensnitt"/>
    <w:link w:val="Rubrik4"/>
    <w:uiPriority w:val="9"/>
    <w:semiHidden/>
    <w:rsid w:val="00FC693F"/>
    <w:rPr>
      <w:rFonts w:asciiTheme="majorHAnsi" w:eastAsiaTheme="majorEastAsia" w:hAnsiTheme="majorHAnsi" w:cstheme="majorBidi"/>
      <w:b/>
      <w:bCs/>
      <w:i/>
      <w:iCs/>
      <w:color w:val="4F81BD" w:themeColor="accent1"/>
    </w:rPr>
  </w:style>
  <w:style w:type="character" w:customStyle="1" w:styleId="Rubrik5Char">
    <w:name w:val="Rubrik 5 Char"/>
    <w:basedOn w:val="Standardstycketeckensnitt"/>
    <w:link w:val="Rubrik5"/>
    <w:uiPriority w:val="9"/>
    <w:semiHidden/>
    <w:rsid w:val="00FC693F"/>
    <w:rPr>
      <w:rFonts w:asciiTheme="majorHAnsi" w:eastAsiaTheme="majorEastAsia" w:hAnsiTheme="majorHAnsi" w:cstheme="majorBidi"/>
      <w:color w:val="243F60" w:themeColor="accent1" w:themeShade="7F"/>
    </w:rPr>
  </w:style>
  <w:style w:type="character" w:customStyle="1" w:styleId="Rubrik6Char">
    <w:name w:val="Rubrik 6 Char"/>
    <w:basedOn w:val="Standardstycketeckensnitt"/>
    <w:link w:val="Rubrik6"/>
    <w:uiPriority w:val="9"/>
    <w:semiHidden/>
    <w:rsid w:val="00FC693F"/>
    <w:rPr>
      <w:rFonts w:asciiTheme="majorHAnsi" w:eastAsiaTheme="majorEastAsia" w:hAnsiTheme="majorHAnsi" w:cstheme="majorBidi"/>
      <w:i/>
      <w:iCs/>
      <w:color w:val="243F60" w:themeColor="accent1" w:themeShade="7F"/>
    </w:rPr>
  </w:style>
  <w:style w:type="character" w:customStyle="1" w:styleId="Rubrik7Char">
    <w:name w:val="Rubrik 7 Char"/>
    <w:basedOn w:val="Standardstycketeckensnitt"/>
    <w:link w:val="Rubrik7"/>
    <w:uiPriority w:val="9"/>
    <w:semiHidden/>
    <w:rsid w:val="00FC693F"/>
    <w:rPr>
      <w:rFonts w:asciiTheme="majorHAnsi" w:eastAsiaTheme="majorEastAsia" w:hAnsiTheme="majorHAnsi" w:cstheme="majorBidi"/>
      <w:i/>
      <w:iCs/>
      <w:color w:val="404040" w:themeColor="text1" w:themeTint="BF"/>
    </w:rPr>
  </w:style>
  <w:style w:type="character" w:customStyle="1" w:styleId="Rubrik8Char">
    <w:name w:val="Rubrik 8 Char"/>
    <w:basedOn w:val="Standardstycketeckensnitt"/>
    <w:link w:val="Rubrik8"/>
    <w:uiPriority w:val="9"/>
    <w:semiHidden/>
    <w:rsid w:val="00FC693F"/>
    <w:rPr>
      <w:rFonts w:asciiTheme="majorHAnsi" w:eastAsiaTheme="majorEastAsia" w:hAnsiTheme="majorHAnsi" w:cstheme="majorBidi"/>
      <w:color w:val="4F81BD" w:themeColor="accent1"/>
      <w:sz w:val="20"/>
      <w:szCs w:val="20"/>
    </w:rPr>
  </w:style>
  <w:style w:type="character" w:customStyle="1" w:styleId="Rubrik9Char">
    <w:name w:val="Rubrik 9 Char"/>
    <w:basedOn w:val="Standardstycketeckensnitt"/>
    <w:link w:val="Rubrik9"/>
    <w:uiPriority w:val="9"/>
    <w:semiHidden/>
    <w:rsid w:val="00FC693F"/>
    <w:rPr>
      <w:rFonts w:asciiTheme="majorHAnsi" w:eastAsiaTheme="majorEastAsia" w:hAnsiTheme="majorHAnsi" w:cstheme="majorBidi"/>
      <w:i/>
      <w:iCs/>
      <w:color w:val="404040" w:themeColor="text1" w:themeTint="BF"/>
      <w:sz w:val="20"/>
      <w:szCs w:val="20"/>
    </w:rPr>
  </w:style>
  <w:style w:type="paragraph" w:styleId="Beskrivning">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ark">
    <w:name w:val="Strong"/>
    <w:basedOn w:val="Standardstycketeckensnitt"/>
    <w:uiPriority w:val="22"/>
    <w:qFormat/>
    <w:rsid w:val="00FC693F"/>
    <w:rPr>
      <w:b/>
      <w:bCs/>
    </w:rPr>
  </w:style>
  <w:style w:type="character" w:styleId="Betoning">
    <w:name w:val="Emphasis"/>
    <w:basedOn w:val="Standardstycketeckensnitt"/>
    <w:uiPriority w:val="20"/>
    <w:qFormat/>
    <w:rsid w:val="00FC693F"/>
    <w:rPr>
      <w:i/>
      <w:iCs/>
    </w:rPr>
  </w:style>
  <w:style w:type="paragraph" w:styleId="Starktcitat">
    <w:name w:val="Intense Quote"/>
    <w:basedOn w:val="Normal"/>
    <w:next w:val="Normal"/>
    <w:link w:val="Starktcit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StarktcitatChar">
    <w:name w:val="Starkt citat Char"/>
    <w:basedOn w:val="Standardstycketeckensnitt"/>
    <w:link w:val="Starktcitat"/>
    <w:uiPriority w:val="30"/>
    <w:rsid w:val="00FC693F"/>
    <w:rPr>
      <w:b/>
      <w:bCs/>
      <w:i/>
      <w:iCs/>
      <w:color w:val="4F81BD" w:themeColor="accent1"/>
    </w:rPr>
  </w:style>
  <w:style w:type="character" w:styleId="Diskretbetoning">
    <w:name w:val="Subtle Emphasis"/>
    <w:basedOn w:val="Standardstycketeckensnitt"/>
    <w:uiPriority w:val="19"/>
    <w:qFormat/>
    <w:rsid w:val="00FC693F"/>
    <w:rPr>
      <w:i/>
      <w:iCs/>
      <w:color w:val="808080" w:themeColor="text1" w:themeTint="7F"/>
    </w:rPr>
  </w:style>
  <w:style w:type="character" w:styleId="Starkbetoning">
    <w:name w:val="Intense Emphasis"/>
    <w:basedOn w:val="Standardstycketeckensnitt"/>
    <w:uiPriority w:val="21"/>
    <w:qFormat/>
    <w:rsid w:val="00FC693F"/>
    <w:rPr>
      <w:b/>
      <w:bCs/>
      <w:i/>
      <w:iCs/>
      <w:color w:val="4F81BD" w:themeColor="accent1"/>
    </w:rPr>
  </w:style>
  <w:style w:type="character" w:styleId="Diskretreferens">
    <w:name w:val="Subtle Reference"/>
    <w:basedOn w:val="Standardstycketeckensnitt"/>
    <w:uiPriority w:val="31"/>
    <w:qFormat/>
    <w:rsid w:val="00FC693F"/>
    <w:rPr>
      <w:smallCaps/>
      <w:color w:val="C0504D" w:themeColor="accent2"/>
      <w:u w:val="single"/>
    </w:rPr>
  </w:style>
  <w:style w:type="character" w:styleId="Starkreferens">
    <w:name w:val="Intense Reference"/>
    <w:basedOn w:val="Standardstycketeckensnitt"/>
    <w:uiPriority w:val="32"/>
    <w:qFormat/>
    <w:rsid w:val="00FC693F"/>
    <w:rPr>
      <w:b/>
      <w:bCs/>
      <w:smallCaps/>
      <w:color w:val="C0504D" w:themeColor="accent2"/>
      <w:spacing w:val="5"/>
      <w:u w:val="single"/>
    </w:rPr>
  </w:style>
  <w:style w:type="character" w:styleId="Bokenstitel">
    <w:name w:val="Book Title"/>
    <w:basedOn w:val="Standardstycketeckensnitt"/>
    <w:uiPriority w:val="33"/>
    <w:qFormat/>
    <w:rsid w:val="00FC693F"/>
    <w:rPr>
      <w:b/>
      <w:bCs/>
      <w:smallCaps/>
      <w:spacing w:val="5"/>
    </w:rPr>
  </w:style>
  <w:style w:type="paragraph" w:styleId="Innehllsfrteckningsrubrik">
    <w:name w:val="TOC Heading"/>
    <w:basedOn w:val="Rubrik1"/>
    <w:next w:val="Normal"/>
    <w:uiPriority w:val="39"/>
    <w:semiHidden/>
    <w:unhideWhenUsed/>
    <w:qFormat/>
    <w:rsid w:val="00FC693F"/>
    <w:pPr>
      <w:outlineLvl w:val="9"/>
    </w:pPr>
  </w:style>
  <w:style w:type="table" w:styleId="Tabellrutnt">
    <w:name w:val="Table Grid"/>
    <w:basedOn w:val="Normaltabel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jusskuggning">
    <w:name w:val="Light Shading"/>
    <w:basedOn w:val="Normaltabel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jusskuggning-dekorfrg1">
    <w:name w:val="Light Shading Accent 1"/>
    <w:basedOn w:val="Normaltabel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jusskuggning-dekorfrg2">
    <w:name w:val="Light Shading Accent 2"/>
    <w:basedOn w:val="Normaltabel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jusskuggning-dekorfrg3">
    <w:name w:val="Light Shading Accent 3"/>
    <w:basedOn w:val="Normaltabel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jusskuggning-dekorfrg4">
    <w:name w:val="Light Shading Accent 4"/>
    <w:basedOn w:val="Normaltabel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jusskuggning-dekorfrg5">
    <w:name w:val="Light Shading Accent 5"/>
    <w:basedOn w:val="Normaltabel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jusskuggning-dekorfrg6">
    <w:name w:val="Light Shading Accent 6"/>
    <w:basedOn w:val="Normaltabel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juslista">
    <w:name w:val="Light List"/>
    <w:basedOn w:val="Normaltabel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juslista-dekorfrg1">
    <w:name w:val="Light List Accent 1"/>
    <w:basedOn w:val="Normaltabel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juslista-dekorfrg2">
    <w:name w:val="Light List Accent 2"/>
    <w:basedOn w:val="Normaltabel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juslista-dekorfrg3">
    <w:name w:val="Light List Accent 3"/>
    <w:basedOn w:val="Normaltabel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juslista-dekorfrg4">
    <w:name w:val="Light List Accent 4"/>
    <w:basedOn w:val="Normaltabel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juslista-dekorfrg5">
    <w:name w:val="Light List Accent 5"/>
    <w:basedOn w:val="Normaltabel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juslista-dekorfrg6">
    <w:name w:val="Light List Accent 6"/>
    <w:basedOn w:val="Normaltabel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justrutnt">
    <w:name w:val="Light Grid"/>
    <w:basedOn w:val="Normaltabel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justrutnt-dekorfrg1">
    <w:name w:val="Light Grid Accent 1"/>
    <w:basedOn w:val="Normaltabel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justrutnt-dekorfrg2">
    <w:name w:val="Light Grid Accent 2"/>
    <w:basedOn w:val="Normaltabel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justrutnt-dekorfrg3">
    <w:name w:val="Light Grid Accent 3"/>
    <w:basedOn w:val="Normaltabel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justrutnt-dekorfrg4">
    <w:name w:val="Light Grid Accent 4"/>
    <w:basedOn w:val="Normaltabel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justrutnt-dekorfrg5">
    <w:name w:val="Light Grid Accent 5"/>
    <w:basedOn w:val="Normaltabel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justrutnt-dekorfrg6">
    <w:name w:val="Light Grid Accent 6"/>
    <w:basedOn w:val="Normaltabel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llanmrkskuggning1">
    <w:name w:val="Medium Shading 1"/>
    <w:basedOn w:val="Normaltabel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llanmrkskuggning1-dekorfrg1">
    <w:name w:val="Medium Shading 1 Accent 1"/>
    <w:basedOn w:val="Normaltabel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llanmrkskuggning1-dekorfrg2">
    <w:name w:val="Medium Shading 1 Accent 2"/>
    <w:basedOn w:val="Normaltabel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llanmrkskuggning1-dekorfrg3">
    <w:name w:val="Medium Shading 1 Accent 3"/>
    <w:basedOn w:val="Normaltabel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llanmrkskuggning1-dekorfrg4">
    <w:name w:val="Medium Shading 1 Accent 4"/>
    <w:basedOn w:val="Normaltabel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llanmrkskuggning1-dekorfrg5">
    <w:name w:val="Medium Shading 1 Accent 5"/>
    <w:basedOn w:val="Normaltabel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llanmrkskuggning2">
    <w:name w:val="Medium Shading 2"/>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1">
    <w:name w:val="Medium Shading 2 Accent 1"/>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2">
    <w:name w:val="Medium Shading 2 Accent 2"/>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3">
    <w:name w:val="Medium Shading 2 Accent 3"/>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4">
    <w:name w:val="Medium Shading 2 Accent 4"/>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5">
    <w:name w:val="Medium Shading 2 Accent 5"/>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6">
    <w:name w:val="Medium Shading 2 Accent 6"/>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lista1">
    <w:name w:val="Medium List 1"/>
    <w:basedOn w:val="Normaltabel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llanmrklista1-dekorfrg1">
    <w:name w:val="Medium List 1 Accent 1"/>
    <w:basedOn w:val="Normaltabel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llanmrklista1-dekorfrg2">
    <w:name w:val="Medium List 1 Accent 2"/>
    <w:basedOn w:val="Normaltabel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llanmrklista1-dekorfrg3">
    <w:name w:val="Medium List 1 Accent 3"/>
    <w:basedOn w:val="Normaltabel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llanmrklista1-dekorfrg4">
    <w:name w:val="Medium List 1 Accent 4"/>
    <w:basedOn w:val="Normaltabel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llanmrklista1-dekorfrg5">
    <w:name w:val="Medium List 1 Accent 5"/>
    <w:basedOn w:val="Normaltabel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llanmrklista1-dekorfrg6">
    <w:name w:val="Medium List 1 Accent 6"/>
    <w:basedOn w:val="Normaltabel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llanmrklista2">
    <w:name w:val="Medium List 2"/>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1">
    <w:name w:val="Medium List 2 Accent 1"/>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2">
    <w:name w:val="Medium List 2 Accent 2"/>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3">
    <w:name w:val="Medium List 2 Accent 3"/>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4">
    <w:name w:val="Medium List 2 Accent 4"/>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5">
    <w:name w:val="Medium List 2 Accent 5"/>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6">
    <w:name w:val="Medium List 2 Accent 6"/>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trutnt1">
    <w:name w:val="Medium Grid 1"/>
    <w:basedOn w:val="Normaltabel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llanmrktrutnt1-dekorfrg1">
    <w:name w:val="Medium Grid 1 Accent 1"/>
    <w:basedOn w:val="Normaltabel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llanmrktrutnt1-dekorfrg2">
    <w:name w:val="Medium Grid 1 Accent 2"/>
    <w:basedOn w:val="Normaltabel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llanmrktrutnt1-dekorfrg3">
    <w:name w:val="Medium Grid 1 Accent 3"/>
    <w:basedOn w:val="Normaltabel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llanmrktrutnt1-dekorfrg4">
    <w:name w:val="Medium Grid 1 Accent 4"/>
    <w:basedOn w:val="Normaltabel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llanmrktrutnt1-dekorfrg5">
    <w:name w:val="Medium Grid 1 Accent 5"/>
    <w:basedOn w:val="Normaltabel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llanmrktrutnt1-dekorfrg6">
    <w:name w:val="Medium Grid 1 Accent 6"/>
    <w:basedOn w:val="Normaltabel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llanmrktrutnt2">
    <w:name w:val="Medium Grid 2"/>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llanmrktrutnt2-dekorfrg1">
    <w:name w:val="Medium Grid 2 Accent 1"/>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llanmrktrutnt2-dekorfrg2">
    <w:name w:val="Medium Grid 2 Accent 2"/>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llanmrktrutnt2-dekorfrg3">
    <w:name w:val="Medium Grid 2 Accent 3"/>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llanmrktrutnt2-dekorfrg4">
    <w:name w:val="Medium Grid 2 Accent 4"/>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llanmrktrutnt2-dekorfrg5">
    <w:name w:val="Medium Grid 2 Accent 5"/>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llanmrktrutnt2-dekorfrg6">
    <w:name w:val="Medium Grid 2 Accent 6"/>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llanmrktrutnt3">
    <w:name w:val="Medium Grid 3"/>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llanmrktrutnt3-dekorfrg1">
    <w:name w:val="Medium Grid 3 Accent 1"/>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llanmrktrutnt3-dekorfrg2">
    <w:name w:val="Medium Grid 3 Accent 2"/>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llanmrktrutnt3-dekorfrg3">
    <w:name w:val="Medium Grid 3 Accent 3"/>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llanmrktrutnt3-dekorfrg4">
    <w:name w:val="Medium Grid 3 Accent 4"/>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llanmrktrutnt3-dekorfrg5">
    <w:name w:val="Medium Grid 3 Accent 5"/>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llanmrktrutnt3-dekorfrg6">
    <w:name w:val="Medium Grid 3 Accent 6"/>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rklista">
    <w:name w:val="Dark List"/>
    <w:basedOn w:val="Normaltabel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a-dekorfrg1">
    <w:name w:val="Dark List Accent 1"/>
    <w:basedOn w:val="Normaltabel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Mrklista-dekorfrg2">
    <w:name w:val="Dark List Accent 2"/>
    <w:basedOn w:val="Normaltabel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Mrklista-dekorfrg3">
    <w:name w:val="Dark List Accent 3"/>
    <w:basedOn w:val="Normaltabel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Mrklista-dekorfrg4">
    <w:name w:val="Dark List Accent 4"/>
    <w:basedOn w:val="Normaltabel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Mrklista-dekorfrg5">
    <w:name w:val="Dark List Accent 5"/>
    <w:basedOn w:val="Normaltabel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Mrklista-dekorfrg6">
    <w:name w:val="Dark List Accent 6"/>
    <w:basedOn w:val="Normaltabel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rgadskuggning">
    <w:name w:val="Colorful Shading"/>
    <w:basedOn w:val="Normal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rgadskuggning-dekorfrg1">
    <w:name w:val="Colorful Shading Accent 1"/>
    <w:basedOn w:val="Normal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rgadskuggning-dekorfrg2">
    <w:name w:val="Colorful Shading Accent 2"/>
    <w:basedOn w:val="Normal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rgadskuggning-dekorfrg3">
    <w:name w:val="Colorful Shading Accent 3"/>
    <w:basedOn w:val="Normaltabel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rgadskuggning-dekorfrg4">
    <w:name w:val="Colorful Shading Accent 4"/>
    <w:basedOn w:val="Normaltabel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rgadskuggning-dekorfrg5">
    <w:name w:val="Colorful Shading Accent 5"/>
    <w:basedOn w:val="Normaltabel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rgadskuggning-dekorfrg6">
    <w:name w:val="Colorful Shading Accent 6"/>
    <w:basedOn w:val="Normaltabel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rgadlista">
    <w:name w:val="Colorful List"/>
    <w:basedOn w:val="Normaltabel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rgadlista-dekorfrg1">
    <w:name w:val="Colorful List Accent 1"/>
    <w:basedOn w:val="Normaltabel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rgadlista-dekorfrg2">
    <w:name w:val="Colorful List Accent 2"/>
    <w:basedOn w:val="Normaltabel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rgadlista-dekorfrg3">
    <w:name w:val="Colorful List Accent 3"/>
    <w:basedOn w:val="Normaltabel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rgadlista-dekorfrg4">
    <w:name w:val="Colorful List Accent 4"/>
    <w:basedOn w:val="Normaltabel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rgadlista-dekorfrg5">
    <w:name w:val="Colorful List Accent 5"/>
    <w:basedOn w:val="Normaltabel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rgadlista-dekorfrg6">
    <w:name w:val="Colorful List Accent 6"/>
    <w:basedOn w:val="Normaltabel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rgatrutnt">
    <w:name w:val="Colorful Grid"/>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rgatrutnt-dekorfrg1">
    <w:name w:val="Colorful Grid Accent 1"/>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rgatrutnt-dekorfrg2">
    <w:name w:val="Colorful Grid Accent 2"/>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rgatrutnt-dekorfrg3">
    <w:name w:val="Colorful Grid Accent 3"/>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rgatrutnt-dekorfrg4">
    <w:name w:val="Colorful Grid Accent 4"/>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rgatrutnt-dekorfrg5">
    <w:name w:val="Colorful Grid Accent 5"/>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rgatrutnt-dekorfrg6">
    <w:name w:val="Colorful Grid Accent 6"/>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2429</Words>
  <Characters>12876</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15275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Halmstad University Gender Mainstreaming Plan 2026–2028</dc:title>
  <dc:subject>English translation of the Gender Mainstreaming Plan 2026–2028</dc:subject>
  <dc:creator>Halmstad University</dc:creator>
  <cp:keywords>gender mainstreaming; gender equality; Halmstad University; 2026–2028</cp:keywords>
  <dc:description>generated by python-docx</dc:description>
  <cp:lastModifiedBy>Klara Öberg</cp:lastModifiedBy>
  <cp:revision>2</cp:revision>
  <dcterms:created xsi:type="dcterms:W3CDTF">2026-09-15T06:39:00Z</dcterms:created>
  <dcterms:modified xsi:type="dcterms:W3CDTF">2026-09-15T06:39:00Z</dcterms:modified>
  <cp:category/>
</cp:coreProperties>
</file>